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12255" w:rsidRPr="00416475">
        <w:rPr>
          <w:b/>
          <w:bCs/>
        </w:rPr>
        <w:t>ЗКТ-</w:t>
      </w:r>
      <w:r w:rsidR="00512255">
        <w:rPr>
          <w:b/>
          <w:bCs/>
        </w:rPr>
        <w:t>26</w:t>
      </w:r>
      <w:r w:rsidR="00512255" w:rsidRPr="00416475">
        <w:rPr>
          <w:b/>
          <w:bCs/>
        </w:rPr>
        <w:t>/</w:t>
      </w:r>
      <w:r w:rsidR="00512255">
        <w:rPr>
          <w:b/>
          <w:bCs/>
        </w:rPr>
        <w:t>20</w:t>
      </w:r>
      <w:r w:rsidR="00512255" w:rsidRPr="00416475">
        <w:rPr>
          <w:b/>
          <w:bCs/>
        </w:rPr>
        <w:t xml:space="preserve"> на право заключения договора поставки </w:t>
      </w:r>
      <w:r w:rsidR="00512255" w:rsidRPr="006A555A">
        <w:rPr>
          <w:b/>
          <w:bCs/>
        </w:rPr>
        <w:t>свежемороженой рыбы и полуфабрикатов из нее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1225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512255">
              <w:rPr>
                <w:b/>
                <w:bCs/>
              </w:rPr>
              <w:t>6</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512255" w:rsidRPr="006A555A">
              <w:rPr>
                <w:b/>
                <w:bCs/>
                <w:sz w:val="24"/>
                <w:szCs w:val="24"/>
              </w:rPr>
              <w:t>свежемороженой рыбы и полуфабрикатов из нее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6154"/>
              <w:gridCol w:w="837"/>
              <w:gridCol w:w="963"/>
              <w:gridCol w:w="859"/>
              <w:gridCol w:w="1253"/>
              <w:gridCol w:w="1275"/>
              <w:gridCol w:w="1471"/>
              <w:gridCol w:w="1510"/>
            </w:tblGrid>
            <w:tr w:rsidR="00512255" w:rsidRPr="00E946AC" w:rsidTr="00512255">
              <w:trPr>
                <w:trHeight w:val="791"/>
                <w:jc w:val="center"/>
              </w:trPr>
              <w:tc>
                <w:tcPr>
                  <w:tcW w:w="598" w:type="pct"/>
                  <w:tcBorders>
                    <w:bottom w:val="single" w:sz="4" w:space="0" w:color="auto"/>
                  </w:tcBorders>
                </w:tcPr>
                <w:p w:rsidR="00512255" w:rsidRPr="00D2197C" w:rsidRDefault="00512255" w:rsidP="00512255">
                  <w:pPr>
                    <w:jc w:val="center"/>
                    <w:rPr>
                      <w:b/>
                      <w:sz w:val="20"/>
                      <w:szCs w:val="20"/>
                    </w:rPr>
                  </w:pPr>
                  <w:r w:rsidRPr="00D2197C">
                    <w:rPr>
                      <w:b/>
                      <w:sz w:val="20"/>
                      <w:szCs w:val="20"/>
                    </w:rPr>
                    <w:t>Наименование товара</w:t>
                  </w:r>
                </w:p>
              </w:tc>
              <w:tc>
                <w:tcPr>
                  <w:tcW w:w="1891" w:type="pct"/>
                  <w:tcBorders>
                    <w:bottom w:val="single" w:sz="4" w:space="0" w:color="auto"/>
                  </w:tcBorders>
                </w:tcPr>
                <w:p w:rsidR="00512255" w:rsidRPr="00E946AC" w:rsidRDefault="00512255" w:rsidP="00512255">
                  <w:pPr>
                    <w:jc w:val="center"/>
                    <w:rPr>
                      <w:b/>
                      <w:sz w:val="20"/>
                      <w:szCs w:val="20"/>
                    </w:rPr>
                  </w:pPr>
                  <w:r>
                    <w:rPr>
                      <w:b/>
                      <w:sz w:val="20"/>
                      <w:szCs w:val="20"/>
                    </w:rPr>
                    <w:t>Характеристики товара</w:t>
                  </w:r>
                </w:p>
              </w:tc>
              <w:tc>
                <w:tcPr>
                  <w:tcW w:w="257" w:type="pct"/>
                  <w:tcBorders>
                    <w:bottom w:val="single" w:sz="4" w:space="0" w:color="auto"/>
                  </w:tcBorders>
                </w:tcPr>
                <w:p w:rsidR="00512255" w:rsidRPr="00E946AC" w:rsidRDefault="00512255" w:rsidP="00512255">
                  <w:pPr>
                    <w:jc w:val="center"/>
                    <w:rPr>
                      <w:b/>
                      <w:sz w:val="20"/>
                      <w:szCs w:val="20"/>
                    </w:rPr>
                  </w:pPr>
                  <w:r w:rsidRPr="00E946AC">
                    <w:rPr>
                      <w:b/>
                      <w:sz w:val="20"/>
                      <w:szCs w:val="20"/>
                    </w:rPr>
                    <w:t>Ед. изм.</w:t>
                  </w:r>
                </w:p>
              </w:tc>
              <w:tc>
                <w:tcPr>
                  <w:tcW w:w="296" w:type="pct"/>
                  <w:tcBorders>
                    <w:bottom w:val="single" w:sz="4" w:space="0" w:color="auto"/>
                  </w:tcBorders>
                </w:tcPr>
                <w:p w:rsidR="00512255" w:rsidRPr="00E946AC" w:rsidRDefault="00512255" w:rsidP="00512255">
                  <w:pPr>
                    <w:ind w:left="-108"/>
                    <w:jc w:val="center"/>
                    <w:rPr>
                      <w:b/>
                      <w:sz w:val="20"/>
                      <w:szCs w:val="20"/>
                    </w:rPr>
                  </w:pPr>
                  <w:r w:rsidRPr="00E946AC">
                    <w:rPr>
                      <w:b/>
                      <w:sz w:val="20"/>
                      <w:szCs w:val="20"/>
                    </w:rPr>
                    <w:t>Количество</w:t>
                  </w:r>
                </w:p>
                <w:p w:rsidR="00512255" w:rsidRPr="00E946AC" w:rsidRDefault="00512255" w:rsidP="00512255">
                  <w:pPr>
                    <w:ind w:left="-108"/>
                    <w:jc w:val="center"/>
                    <w:rPr>
                      <w:b/>
                      <w:sz w:val="20"/>
                      <w:szCs w:val="20"/>
                    </w:rPr>
                  </w:pPr>
                  <w:r w:rsidRPr="00E946AC">
                    <w:rPr>
                      <w:b/>
                      <w:sz w:val="20"/>
                      <w:szCs w:val="20"/>
                    </w:rPr>
                    <w:t>(объем)</w:t>
                  </w:r>
                </w:p>
              </w:tc>
              <w:tc>
                <w:tcPr>
                  <w:tcW w:w="264" w:type="pct"/>
                  <w:tcBorders>
                    <w:bottom w:val="single" w:sz="4" w:space="0" w:color="auto"/>
                  </w:tcBorders>
                </w:tcPr>
                <w:p w:rsidR="00512255" w:rsidRPr="00E946AC" w:rsidRDefault="00512255" w:rsidP="00512255">
                  <w:pPr>
                    <w:jc w:val="center"/>
                    <w:rPr>
                      <w:b/>
                      <w:sz w:val="20"/>
                      <w:szCs w:val="20"/>
                    </w:rPr>
                  </w:pPr>
                  <w:r w:rsidRPr="00E946AC">
                    <w:rPr>
                      <w:b/>
                      <w:sz w:val="20"/>
                      <w:szCs w:val="20"/>
                    </w:rPr>
                    <w:t>Ставка НДС,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512255" w:rsidRPr="005C5147" w:rsidRDefault="00512255" w:rsidP="00512255">
                  <w:pPr>
                    <w:jc w:val="center"/>
                    <w:rPr>
                      <w:b/>
                      <w:bCs/>
                      <w:color w:val="000000"/>
                      <w:sz w:val="20"/>
                      <w:szCs w:val="20"/>
                    </w:rPr>
                  </w:pPr>
                  <w:r w:rsidRPr="005C5147">
                    <w:rPr>
                      <w:b/>
                      <w:bCs/>
                      <w:color w:val="000000"/>
                      <w:sz w:val="20"/>
                      <w:szCs w:val="20"/>
                    </w:rPr>
                    <w:t>Цена за ед. изм.(руб</w:t>
                  </w:r>
                  <w:r>
                    <w:rPr>
                      <w:b/>
                      <w:bCs/>
                      <w:color w:val="000000"/>
                      <w:sz w:val="20"/>
                      <w:szCs w:val="20"/>
                    </w:rPr>
                    <w:t>.) без</w:t>
                  </w:r>
                  <w:r w:rsidRPr="005C5147">
                    <w:rPr>
                      <w:b/>
                      <w:bCs/>
                      <w:color w:val="000000"/>
                      <w:sz w:val="20"/>
                      <w:szCs w:val="20"/>
                    </w:rPr>
                    <w:t xml:space="preserve">  НДС</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512255" w:rsidRPr="005C5147" w:rsidRDefault="00512255" w:rsidP="00512255">
                  <w:pPr>
                    <w:jc w:val="center"/>
                    <w:rPr>
                      <w:b/>
                      <w:bCs/>
                      <w:color w:val="000000"/>
                      <w:sz w:val="20"/>
                      <w:szCs w:val="20"/>
                    </w:rPr>
                  </w:pPr>
                  <w:r w:rsidRPr="005C5147">
                    <w:rPr>
                      <w:b/>
                      <w:bCs/>
                      <w:color w:val="000000"/>
                      <w:sz w:val="20"/>
                      <w:szCs w:val="20"/>
                    </w:rPr>
                    <w:t>Цена за ед. изм.(руб</w:t>
                  </w:r>
                  <w:r>
                    <w:rPr>
                      <w:b/>
                      <w:bCs/>
                      <w:color w:val="000000"/>
                      <w:sz w:val="20"/>
                      <w:szCs w:val="20"/>
                    </w:rPr>
                    <w:t xml:space="preserve">.) в т.ч. </w:t>
                  </w:r>
                  <w:r w:rsidRPr="005C5147">
                    <w:rPr>
                      <w:b/>
                      <w:bCs/>
                      <w:color w:val="000000"/>
                      <w:sz w:val="20"/>
                      <w:szCs w:val="20"/>
                    </w:rPr>
                    <w:t>НДС</w:t>
                  </w:r>
                </w:p>
              </w:tc>
              <w:tc>
                <w:tcPr>
                  <w:tcW w:w="452" w:type="pct"/>
                  <w:tcBorders>
                    <w:bottom w:val="single" w:sz="4" w:space="0" w:color="auto"/>
                  </w:tcBorders>
                </w:tcPr>
                <w:p w:rsidR="00512255" w:rsidRPr="007614CD" w:rsidRDefault="00512255" w:rsidP="00512255">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512255" w:rsidRPr="00E946AC" w:rsidRDefault="00512255" w:rsidP="00512255">
                  <w:pPr>
                    <w:jc w:val="center"/>
                    <w:rPr>
                      <w:b/>
                      <w:sz w:val="20"/>
                      <w:szCs w:val="20"/>
                    </w:rPr>
                  </w:pPr>
                </w:p>
              </w:tc>
              <w:tc>
                <w:tcPr>
                  <w:tcW w:w="464" w:type="pct"/>
                  <w:tcBorders>
                    <w:bottom w:val="single" w:sz="4" w:space="0" w:color="auto"/>
                  </w:tcBorders>
                </w:tcPr>
                <w:p w:rsidR="00512255" w:rsidRPr="007614CD" w:rsidRDefault="00512255" w:rsidP="00512255">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512255" w:rsidRPr="00E946AC" w:rsidRDefault="00512255" w:rsidP="00512255">
                  <w:pPr>
                    <w:jc w:val="center"/>
                    <w:rPr>
                      <w:b/>
                      <w:sz w:val="20"/>
                      <w:szCs w:val="20"/>
                    </w:rPr>
                  </w:pPr>
                </w:p>
              </w:tc>
            </w:tr>
            <w:tr w:rsidR="00512255" w:rsidTr="00AA3EE6">
              <w:trPr>
                <w:trHeight w:val="297"/>
                <w:jc w:val="center"/>
              </w:trPr>
              <w:tc>
                <w:tcPr>
                  <w:tcW w:w="598" w:type="pct"/>
                  <w:tcBorders>
                    <w:top w:val="single" w:sz="4" w:space="0" w:color="auto"/>
                    <w:left w:val="single" w:sz="4" w:space="0" w:color="auto"/>
                    <w:bottom w:val="single" w:sz="4" w:space="0" w:color="auto"/>
                    <w:right w:val="single" w:sz="4" w:space="0" w:color="auto"/>
                  </w:tcBorders>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Горбуша </w:t>
                  </w:r>
                </w:p>
              </w:tc>
              <w:tc>
                <w:tcPr>
                  <w:tcW w:w="1891" w:type="pct"/>
                </w:tcPr>
                <w:p w:rsidR="00512255" w:rsidRPr="007C4138" w:rsidRDefault="00512255" w:rsidP="00512255">
                  <w:pPr>
                    <w:rPr>
                      <w:sz w:val="20"/>
                      <w:szCs w:val="20"/>
                    </w:rPr>
                  </w:pPr>
                  <w:r>
                    <w:rPr>
                      <w:rFonts w:eastAsia="SimSun"/>
                      <w:sz w:val="20"/>
                      <w:szCs w:val="20"/>
                    </w:rPr>
                    <w:t>У мороженой рыбы чешуя плотно прилегает к телу, не имеет пятен и следов ушиба. Рыба потрошёная.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single" w:sz="4" w:space="0" w:color="auto"/>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900</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270,00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297,00</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243000,00</w:t>
                  </w:r>
                </w:p>
              </w:tc>
              <w:tc>
                <w:tcPr>
                  <w:tcW w:w="464" w:type="pct"/>
                  <w:tcBorders>
                    <w:top w:val="single" w:sz="4" w:space="0" w:color="auto"/>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267300,00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Кета </w:t>
                  </w:r>
                </w:p>
              </w:tc>
              <w:tc>
                <w:tcPr>
                  <w:tcW w:w="1891" w:type="pct"/>
                  <w:tcBorders>
                    <w:top w:val="single" w:sz="4" w:space="0" w:color="auto"/>
                    <w:left w:val="single" w:sz="4" w:space="0" w:color="auto"/>
                    <w:bottom w:val="single" w:sz="4" w:space="0" w:color="auto"/>
                    <w:right w:val="single" w:sz="4" w:space="0" w:color="auto"/>
                  </w:tcBorders>
                </w:tcPr>
                <w:p w:rsidR="00512255" w:rsidRDefault="00512255" w:rsidP="00512255">
                  <w:pPr>
                    <w:rPr>
                      <w:sz w:val="20"/>
                      <w:szCs w:val="20"/>
                    </w:rPr>
                  </w:pPr>
                  <w:r>
                    <w:rPr>
                      <w:rFonts w:eastAsia="SimSun"/>
                      <w:sz w:val="20"/>
                      <w:szCs w:val="20"/>
                    </w:rPr>
                    <w:t>У мороженой рыбы чешуя плотно прилегает к телу, не имеет пятен и следов ушиба. Рыба потрошёная.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900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270,00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297,00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243000,00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267300,00</w:t>
                  </w:r>
                </w:p>
              </w:tc>
            </w:tr>
            <w:tr w:rsidR="00512255" w:rsidTr="00AA3EE6">
              <w:trPr>
                <w:trHeight w:val="208"/>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Мойва </w:t>
                  </w:r>
                </w:p>
              </w:tc>
              <w:tc>
                <w:tcPr>
                  <w:tcW w:w="1891" w:type="pct"/>
                </w:tcPr>
                <w:p w:rsidR="00512255" w:rsidRPr="007C4138" w:rsidRDefault="00512255" w:rsidP="00512255">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500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260,00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286,00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130000,00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143000,00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Окунь терпуг</w:t>
                  </w:r>
                </w:p>
              </w:tc>
              <w:tc>
                <w:tcPr>
                  <w:tcW w:w="1891" w:type="pct"/>
                </w:tcPr>
                <w:p w:rsidR="00512255" w:rsidRPr="007C4138" w:rsidRDefault="00512255" w:rsidP="00512255">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1000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180,00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198,00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180000,00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198000,00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lastRenderedPageBreak/>
                    <w:t>Кальмар</w:t>
                  </w:r>
                </w:p>
              </w:tc>
              <w:tc>
                <w:tcPr>
                  <w:tcW w:w="1891" w:type="pct"/>
                </w:tcPr>
                <w:p w:rsidR="00512255" w:rsidRPr="007C4138" w:rsidRDefault="00512255" w:rsidP="00512255">
                  <w:pPr>
                    <w:rPr>
                      <w:sz w:val="20"/>
                      <w:szCs w:val="20"/>
                    </w:rPr>
                  </w:pPr>
                  <w:r>
                    <w:rPr>
                      <w:rFonts w:eastAsia="SimSun"/>
                      <w:sz w:val="20"/>
                      <w:szCs w:val="20"/>
                    </w:rPr>
                    <w:t xml:space="preserve">Филе – мантия разрезана., внутренности и голова с щупальцами удалены, брюшная полость зачищена, хитиновая пластинка удалена. Соответствие ГОСТ Р 51495 – 99. </w:t>
                  </w:r>
                  <w:r>
                    <w:rPr>
                      <w:sz w:val="20"/>
                      <w:szCs w:val="20"/>
                    </w:rPr>
                    <w:t>Упаковано в пищевую полиэтиленовую пленку,  в ящики из гофрированного картона весом до 22.5кг.</w:t>
                  </w:r>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2500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150,00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165,00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375000,00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412500,00</w:t>
                  </w:r>
                </w:p>
              </w:tc>
            </w:tr>
            <w:tr w:rsidR="00512255" w:rsidTr="00AA3EE6">
              <w:trPr>
                <w:trHeight w:val="58"/>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Камбала </w:t>
                  </w:r>
                </w:p>
              </w:tc>
              <w:tc>
                <w:tcPr>
                  <w:tcW w:w="1891" w:type="pct"/>
                </w:tcPr>
                <w:p w:rsidR="00512255" w:rsidRPr="007C4138" w:rsidRDefault="00512255" w:rsidP="0051225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5000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110,00</w:t>
                  </w:r>
                </w:p>
              </w:tc>
              <w:tc>
                <w:tcPr>
                  <w:tcW w:w="392"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121,00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550000,00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605000,00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Минтай </w:t>
                  </w:r>
                </w:p>
              </w:tc>
              <w:tc>
                <w:tcPr>
                  <w:tcW w:w="1891" w:type="pct"/>
                </w:tcPr>
                <w:p w:rsidR="00512255" w:rsidRPr="007C4138" w:rsidRDefault="00512255" w:rsidP="0051225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Размер тушки рыбы 30+.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Pr="00A8534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5000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sidRPr="006C6432">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140,00</w:t>
                  </w:r>
                </w:p>
              </w:tc>
              <w:tc>
                <w:tcPr>
                  <w:tcW w:w="392" w:type="pct"/>
                  <w:tcBorders>
                    <w:top w:val="nil"/>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154,00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700000,00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770000,00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Сельдь </w:t>
                  </w:r>
                </w:p>
              </w:tc>
              <w:tc>
                <w:tcPr>
                  <w:tcW w:w="1891" w:type="pct"/>
                </w:tcPr>
                <w:p w:rsidR="00512255" w:rsidRPr="007C4138" w:rsidRDefault="00512255" w:rsidP="00512255">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паковано в пищевую полиэтиленовую пленку,  в ящики из гофрированного картона весом до 22кг.</w:t>
                  </w:r>
                </w:p>
              </w:tc>
              <w:tc>
                <w:tcPr>
                  <w:tcW w:w="257" w:type="pct"/>
                  <w:tcBorders>
                    <w:top w:val="nil"/>
                    <w:left w:val="single" w:sz="4" w:space="0" w:color="auto"/>
                    <w:bottom w:val="single" w:sz="4" w:space="0" w:color="auto"/>
                    <w:right w:val="single" w:sz="4" w:space="0" w:color="auto"/>
                  </w:tcBorders>
                  <w:shd w:val="clear" w:color="auto" w:fill="auto"/>
                </w:tcPr>
                <w:p w:rsidR="00512255" w:rsidRDefault="00512255" w:rsidP="00512255">
                  <w:pPr>
                    <w:jc w:val="center"/>
                  </w:pPr>
                  <w:r w:rsidRPr="002D6933">
                    <w:rPr>
                      <w:rFonts w:eastAsia="Calibri"/>
                      <w:color w:val="000000"/>
                      <w:sz w:val="20"/>
                      <w:szCs w:val="20"/>
                    </w:rPr>
                    <w:t>кг.</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1700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130,00</w:t>
                  </w:r>
                </w:p>
              </w:tc>
              <w:tc>
                <w:tcPr>
                  <w:tcW w:w="392" w:type="pct"/>
                  <w:tcBorders>
                    <w:top w:val="nil"/>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143,00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221000,00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243100,00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 xml:space="preserve">Навага </w:t>
                  </w:r>
                </w:p>
              </w:tc>
              <w:tc>
                <w:tcPr>
                  <w:tcW w:w="1891" w:type="pct"/>
                </w:tcPr>
                <w:p w:rsidR="00512255" w:rsidRPr="007C4138" w:rsidRDefault="00512255" w:rsidP="0051225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57" w:type="pct"/>
                  <w:tcBorders>
                    <w:top w:val="nil"/>
                    <w:left w:val="single" w:sz="4" w:space="0" w:color="auto"/>
                    <w:bottom w:val="single" w:sz="4" w:space="0" w:color="auto"/>
                    <w:right w:val="single" w:sz="4" w:space="0" w:color="auto"/>
                  </w:tcBorders>
                  <w:shd w:val="clear" w:color="auto" w:fill="auto"/>
                </w:tcPr>
                <w:p w:rsidR="00512255" w:rsidRDefault="00512255" w:rsidP="00512255">
                  <w:pPr>
                    <w:jc w:val="center"/>
                  </w:pPr>
                  <w:r w:rsidRPr="002D6933">
                    <w:rPr>
                      <w:rFonts w:eastAsia="Calibri"/>
                      <w:color w:val="000000"/>
                      <w:sz w:val="20"/>
                      <w:szCs w:val="20"/>
                    </w:rPr>
                    <w:t>кг.</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6500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110,00</w:t>
                  </w:r>
                </w:p>
              </w:tc>
              <w:tc>
                <w:tcPr>
                  <w:tcW w:w="392" w:type="pct"/>
                  <w:tcBorders>
                    <w:top w:val="nil"/>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121,00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715000,00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786500,00</w:t>
                  </w:r>
                </w:p>
              </w:tc>
            </w:tr>
            <w:tr w:rsidR="00512255" w:rsidTr="00AA3EE6">
              <w:trPr>
                <w:jc w:val="center"/>
              </w:trPr>
              <w:tc>
                <w:tcPr>
                  <w:tcW w:w="598" w:type="pct"/>
                  <w:tcBorders>
                    <w:top w:val="single" w:sz="6" w:space="0" w:color="auto"/>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rPr>
                      <w:rFonts w:eastAsia="Calibri"/>
                      <w:color w:val="000000"/>
                      <w:sz w:val="20"/>
                      <w:szCs w:val="20"/>
                    </w:rPr>
                  </w:pPr>
                  <w:r>
                    <w:rPr>
                      <w:rFonts w:eastAsia="Calibri"/>
                      <w:color w:val="000000"/>
                      <w:sz w:val="20"/>
                      <w:szCs w:val="20"/>
                    </w:rPr>
                    <w:t>Крабовые палочки</w:t>
                  </w:r>
                </w:p>
              </w:tc>
              <w:tc>
                <w:tcPr>
                  <w:tcW w:w="1891" w:type="pct"/>
                </w:tcPr>
                <w:p w:rsidR="00512255" w:rsidRPr="007C4138" w:rsidRDefault="00512255" w:rsidP="00512255">
                  <w:pPr>
                    <w:rPr>
                      <w:sz w:val="20"/>
                      <w:szCs w:val="20"/>
                    </w:rPr>
                  </w:pPr>
                  <w:r>
                    <w:rPr>
                      <w:bCs/>
                      <w:sz w:val="20"/>
                      <w:szCs w:val="20"/>
                    </w:rPr>
                    <w:t>ГОСТ 34432 – 2018. Целые не изогнутые, цилиндрической формы, срезы ровные, поверхность чистая, в индивидуальной оболочке из полимерной пленки без повреждений и влаги. Допускается деформация на срезах крабовых палочек, упакованных россыпью.</w:t>
                  </w:r>
                </w:p>
              </w:tc>
              <w:tc>
                <w:tcPr>
                  <w:tcW w:w="257" w:type="pct"/>
                  <w:tcBorders>
                    <w:top w:val="nil"/>
                    <w:left w:val="single" w:sz="4" w:space="0" w:color="auto"/>
                    <w:bottom w:val="single" w:sz="4" w:space="0" w:color="auto"/>
                    <w:right w:val="single" w:sz="4" w:space="0" w:color="auto"/>
                  </w:tcBorders>
                  <w:shd w:val="clear" w:color="auto" w:fill="auto"/>
                </w:tcPr>
                <w:p w:rsidR="00512255" w:rsidRDefault="00512255" w:rsidP="00512255">
                  <w:pPr>
                    <w:jc w:val="center"/>
                  </w:pPr>
                  <w:r w:rsidRPr="002D6933">
                    <w:rPr>
                      <w:rFonts w:eastAsia="Calibri"/>
                      <w:color w:val="000000"/>
                      <w:sz w:val="20"/>
                      <w:szCs w:val="20"/>
                    </w:rPr>
                    <w:t>кг.</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color w:val="000000"/>
                      <w:sz w:val="18"/>
                      <w:szCs w:val="18"/>
                    </w:rPr>
                  </w:pPr>
                  <w:r w:rsidRPr="00824D04">
                    <w:rPr>
                      <w:rFonts w:eastAsia="Calibri"/>
                      <w:color w:val="000000"/>
                      <w:sz w:val="18"/>
                      <w:szCs w:val="18"/>
                    </w:rPr>
                    <w:t>2700</w:t>
                  </w:r>
                </w:p>
              </w:tc>
              <w:tc>
                <w:tcPr>
                  <w:tcW w:w="264" w:type="pct"/>
                  <w:tcBorders>
                    <w:top w:val="nil"/>
                    <w:left w:val="single" w:sz="4" w:space="0" w:color="auto"/>
                    <w:bottom w:val="single" w:sz="4" w:space="0" w:color="auto"/>
                    <w:right w:val="single" w:sz="4" w:space="0" w:color="auto"/>
                  </w:tcBorders>
                  <w:shd w:val="clear" w:color="auto" w:fill="auto"/>
                </w:tcPr>
                <w:p w:rsidR="00512255" w:rsidRPr="006C6432"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10%</w:t>
                  </w:r>
                </w:p>
              </w:tc>
              <w:tc>
                <w:tcPr>
                  <w:tcW w:w="385"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180,00</w:t>
                  </w:r>
                </w:p>
              </w:tc>
              <w:tc>
                <w:tcPr>
                  <w:tcW w:w="392" w:type="pct"/>
                  <w:tcBorders>
                    <w:top w:val="nil"/>
                    <w:left w:val="single" w:sz="6" w:space="0" w:color="auto"/>
                    <w:bottom w:val="single" w:sz="6" w:space="0" w:color="auto"/>
                    <w:right w:val="single" w:sz="6" w:space="0" w:color="auto"/>
                  </w:tcBorders>
                  <w:shd w:val="solid" w:color="FFFFFF"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198,00</w:t>
                  </w: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486000,00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color w:val="000000"/>
                      <w:sz w:val="20"/>
                      <w:szCs w:val="20"/>
                    </w:rPr>
                  </w:pPr>
                  <w:r>
                    <w:rPr>
                      <w:rFonts w:eastAsia="Calibri"/>
                      <w:color w:val="000000"/>
                      <w:sz w:val="20"/>
                      <w:szCs w:val="20"/>
                    </w:rPr>
                    <w:t>534600,00</w:t>
                  </w:r>
                </w:p>
              </w:tc>
            </w:tr>
            <w:tr w:rsidR="00512255" w:rsidTr="00512255">
              <w:trPr>
                <w:jc w:val="center"/>
              </w:trPr>
              <w:tc>
                <w:tcPr>
                  <w:tcW w:w="598" w:type="pct"/>
                  <w:vAlign w:val="center"/>
                </w:tcPr>
                <w:p w:rsidR="00512255" w:rsidRPr="00BC5919" w:rsidRDefault="00512255" w:rsidP="00512255">
                  <w:pPr>
                    <w:rPr>
                      <w:sz w:val="20"/>
                      <w:szCs w:val="20"/>
                    </w:rPr>
                  </w:pPr>
                  <w:r w:rsidRPr="00BC5919">
                    <w:rPr>
                      <w:b/>
                      <w:sz w:val="20"/>
                      <w:szCs w:val="20"/>
                    </w:rPr>
                    <w:t xml:space="preserve">ИТОГО </w:t>
                  </w:r>
                  <w:r w:rsidRPr="00BC5919">
                    <w:rPr>
                      <w:b/>
                      <w:sz w:val="20"/>
                      <w:szCs w:val="20"/>
                    </w:rPr>
                    <w:lastRenderedPageBreak/>
                    <w:t>начальная (максимальная) цена</w:t>
                  </w:r>
                </w:p>
              </w:tc>
              <w:tc>
                <w:tcPr>
                  <w:tcW w:w="1891" w:type="pct"/>
                </w:tcPr>
                <w:p w:rsidR="00512255" w:rsidRDefault="00512255" w:rsidP="00512255">
                  <w:pPr>
                    <w:jc w:val="center"/>
                    <w:rPr>
                      <w:b/>
                      <w:sz w:val="20"/>
                      <w:szCs w:val="20"/>
                    </w:rPr>
                  </w:pPr>
                </w:p>
              </w:tc>
              <w:tc>
                <w:tcPr>
                  <w:tcW w:w="257" w:type="pct"/>
                  <w:vAlign w:val="center"/>
                </w:tcPr>
                <w:p w:rsidR="00512255" w:rsidRPr="004016F7" w:rsidRDefault="00512255" w:rsidP="00512255">
                  <w:pPr>
                    <w:jc w:val="center"/>
                    <w:rPr>
                      <w:b/>
                      <w:sz w:val="20"/>
                      <w:szCs w:val="20"/>
                    </w:rPr>
                  </w:pPr>
                  <w:r>
                    <w:rPr>
                      <w:b/>
                      <w:sz w:val="20"/>
                      <w:szCs w:val="20"/>
                    </w:rPr>
                    <w:t>кг</w:t>
                  </w:r>
                </w:p>
              </w:tc>
              <w:tc>
                <w:tcPr>
                  <w:tcW w:w="296" w:type="pct"/>
                  <w:tcBorders>
                    <w:top w:val="nil"/>
                    <w:left w:val="single" w:sz="4" w:space="0" w:color="auto"/>
                    <w:bottom w:val="single" w:sz="4" w:space="0" w:color="auto"/>
                    <w:right w:val="single" w:sz="4" w:space="0" w:color="auto"/>
                  </w:tcBorders>
                  <w:shd w:val="clear" w:color="auto" w:fill="auto"/>
                </w:tcPr>
                <w:p w:rsidR="00512255" w:rsidRPr="00824D04" w:rsidRDefault="00512255" w:rsidP="00512255">
                  <w:pPr>
                    <w:autoSpaceDE w:val="0"/>
                    <w:autoSpaceDN w:val="0"/>
                    <w:adjustRightInd w:val="0"/>
                    <w:jc w:val="center"/>
                    <w:rPr>
                      <w:rFonts w:eastAsia="Calibri"/>
                      <w:b/>
                      <w:bCs/>
                      <w:color w:val="000000"/>
                      <w:sz w:val="18"/>
                      <w:szCs w:val="18"/>
                    </w:rPr>
                  </w:pPr>
                  <w:r>
                    <w:rPr>
                      <w:rFonts w:eastAsia="Calibri"/>
                      <w:b/>
                      <w:bCs/>
                      <w:color w:val="000000"/>
                      <w:sz w:val="18"/>
                      <w:szCs w:val="18"/>
                    </w:rPr>
                    <w:t>26700</w:t>
                  </w:r>
                </w:p>
              </w:tc>
              <w:tc>
                <w:tcPr>
                  <w:tcW w:w="264" w:type="pct"/>
                  <w:tcBorders>
                    <w:left w:val="nil"/>
                  </w:tcBorders>
                </w:tcPr>
                <w:p w:rsidR="00512255" w:rsidRPr="006C6432" w:rsidRDefault="00512255" w:rsidP="00512255">
                  <w:pPr>
                    <w:autoSpaceDE w:val="0"/>
                    <w:autoSpaceDN w:val="0"/>
                    <w:adjustRightInd w:val="0"/>
                    <w:jc w:val="center"/>
                    <w:rPr>
                      <w:rFonts w:eastAsia="Calibri"/>
                      <w:color w:val="000000"/>
                      <w:sz w:val="20"/>
                      <w:szCs w:val="20"/>
                    </w:rPr>
                  </w:pPr>
                </w:p>
              </w:tc>
              <w:tc>
                <w:tcPr>
                  <w:tcW w:w="385" w:type="pct"/>
                  <w:vAlign w:val="center"/>
                </w:tcPr>
                <w:p w:rsidR="00512255" w:rsidRPr="004016F7" w:rsidRDefault="00512255" w:rsidP="00512255">
                  <w:pPr>
                    <w:jc w:val="center"/>
                    <w:rPr>
                      <w:b/>
                      <w:bCs/>
                      <w:sz w:val="20"/>
                      <w:szCs w:val="20"/>
                    </w:rPr>
                  </w:pPr>
                </w:p>
              </w:tc>
              <w:tc>
                <w:tcPr>
                  <w:tcW w:w="392" w:type="pct"/>
                  <w:tcBorders>
                    <w:right w:val="single" w:sz="4" w:space="0" w:color="auto"/>
                  </w:tcBorders>
                </w:tcPr>
                <w:p w:rsidR="00512255" w:rsidRPr="004016F7" w:rsidRDefault="00512255" w:rsidP="00512255">
                  <w:pPr>
                    <w:jc w:val="center"/>
                    <w:rPr>
                      <w:b/>
                      <w:bCs/>
                      <w:iCs/>
                      <w:color w:val="000000"/>
                      <w:sz w:val="20"/>
                      <w:szCs w:val="20"/>
                    </w:rPr>
                  </w:pPr>
                </w:p>
              </w:tc>
              <w:tc>
                <w:tcPr>
                  <w:tcW w:w="452" w:type="pct"/>
                  <w:tcBorders>
                    <w:top w:val="nil"/>
                    <w:left w:val="single" w:sz="4" w:space="0" w:color="auto"/>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b/>
                      <w:bCs/>
                      <w:color w:val="000000"/>
                      <w:sz w:val="20"/>
                      <w:szCs w:val="20"/>
                    </w:rPr>
                  </w:pPr>
                  <w:r>
                    <w:rPr>
                      <w:rFonts w:eastAsia="Calibri"/>
                      <w:b/>
                      <w:bCs/>
                      <w:color w:val="000000"/>
                      <w:sz w:val="20"/>
                      <w:szCs w:val="20"/>
                    </w:rPr>
                    <w:t>3843000,00</w:t>
                  </w:r>
                </w:p>
              </w:tc>
              <w:tc>
                <w:tcPr>
                  <w:tcW w:w="464" w:type="pct"/>
                  <w:tcBorders>
                    <w:top w:val="nil"/>
                    <w:left w:val="nil"/>
                    <w:bottom w:val="single" w:sz="4" w:space="0" w:color="auto"/>
                    <w:right w:val="single" w:sz="4" w:space="0" w:color="auto"/>
                  </w:tcBorders>
                  <w:shd w:val="clear" w:color="auto" w:fill="auto"/>
                </w:tcPr>
                <w:p w:rsidR="00512255" w:rsidRDefault="00512255" w:rsidP="00512255">
                  <w:pPr>
                    <w:autoSpaceDE w:val="0"/>
                    <w:autoSpaceDN w:val="0"/>
                    <w:adjustRightInd w:val="0"/>
                    <w:jc w:val="center"/>
                    <w:rPr>
                      <w:rFonts w:eastAsia="Calibri"/>
                      <w:b/>
                      <w:bCs/>
                      <w:color w:val="000000"/>
                      <w:sz w:val="20"/>
                      <w:szCs w:val="20"/>
                    </w:rPr>
                  </w:pPr>
                  <w:r>
                    <w:rPr>
                      <w:rFonts w:eastAsia="Calibri"/>
                      <w:b/>
                      <w:bCs/>
                      <w:color w:val="000000"/>
                      <w:sz w:val="20"/>
                      <w:szCs w:val="20"/>
                    </w:rPr>
                    <w:t>4227300,00</w:t>
                  </w:r>
                </w:p>
              </w:tc>
            </w:tr>
          </w:tbl>
          <w:p w:rsidR="00512255" w:rsidRPr="008F0789" w:rsidRDefault="00512255"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12255" w:rsidRPr="006A555A" w:rsidRDefault="00512255" w:rsidP="00512255">
            <w:pPr>
              <w:contextualSpacing/>
              <w:jc w:val="both"/>
              <w:rPr>
                <w:b/>
              </w:rPr>
            </w:pPr>
            <w:r w:rsidRPr="006A555A">
              <w:rPr>
                <w:b/>
              </w:rPr>
              <w:t xml:space="preserve">- 3 843 000,00 </w:t>
            </w:r>
            <w:r w:rsidRPr="006A555A">
              <w:t>(три миллиона восемьсот сорок три тысячи) рублей 00 копеек без учета НДС,</w:t>
            </w:r>
            <w:r w:rsidRPr="006A555A">
              <w:rPr>
                <w:b/>
              </w:rPr>
              <w:t xml:space="preserve"> </w:t>
            </w:r>
          </w:p>
          <w:p w:rsidR="00E227C3" w:rsidRPr="00215326" w:rsidRDefault="00512255" w:rsidP="00512255">
            <w:pPr>
              <w:contextualSpacing/>
            </w:pPr>
            <w:r w:rsidRPr="006A555A">
              <w:rPr>
                <w:b/>
              </w:rPr>
              <w:t xml:space="preserve"> - 4 227 300,00 </w:t>
            </w:r>
            <w:r w:rsidRPr="006A555A">
              <w:t>(четыре миллиона двести двадцать семь тысяч триста) рублей 00 копеек с учетом НДС 10%</w:t>
            </w:r>
            <w:r w:rsidR="00891E7B" w:rsidRPr="00D9420E">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971149">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512255" w:rsidP="00512255">
            <w:pPr>
              <w:rPr>
                <w:b/>
                <w:i/>
              </w:rPr>
            </w:pPr>
            <w:r>
              <w:rPr>
                <w:b/>
                <w:bCs/>
              </w:rPr>
              <w:t>С</w:t>
            </w:r>
            <w:r w:rsidRPr="006A555A">
              <w:rPr>
                <w:b/>
                <w:bCs/>
              </w:rPr>
              <w:t>вежеморожен</w:t>
            </w:r>
            <w:r>
              <w:rPr>
                <w:b/>
                <w:bCs/>
              </w:rPr>
              <w:t>ая</w:t>
            </w:r>
            <w:r w:rsidRPr="006A555A">
              <w:rPr>
                <w:b/>
                <w:bCs/>
              </w:rPr>
              <w:t xml:space="preserve"> рыб</w:t>
            </w:r>
            <w:r>
              <w:rPr>
                <w:b/>
                <w:bCs/>
              </w:rPr>
              <w:t>а</w:t>
            </w:r>
            <w:r w:rsidRPr="006A555A">
              <w:rPr>
                <w:b/>
                <w:bCs/>
              </w:rPr>
              <w:t xml:space="preserve"> и полуфабрикат</w:t>
            </w:r>
            <w:r>
              <w:rPr>
                <w:b/>
                <w:bCs/>
              </w:rPr>
              <w:t>ы</w:t>
            </w:r>
            <w:r w:rsidRPr="006A555A">
              <w:rPr>
                <w:b/>
                <w:bCs/>
              </w:rPr>
              <w:t xml:space="preserve"> из нее</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w:t>
            </w:r>
            <w:r w:rsidRPr="008F0789">
              <w:rPr>
                <w:rFonts w:eastAsia="Calibri Light"/>
              </w:rPr>
              <w:lastRenderedPageBreak/>
              <w:t>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 xml:space="preserve">Иные требования связанные с определением соответствия поставляемого товара </w:t>
            </w:r>
            <w:r w:rsidRPr="00131489">
              <w:rPr>
                <w:bCs/>
              </w:rPr>
              <w:lastRenderedPageBreak/>
              <w:t>потребностям заказчика</w:t>
            </w:r>
          </w:p>
        </w:tc>
        <w:tc>
          <w:tcPr>
            <w:tcW w:w="3009" w:type="pct"/>
            <w:gridSpan w:val="2"/>
            <w:tcBorders>
              <w:bottom w:val="single" w:sz="4" w:space="0" w:color="auto"/>
            </w:tcBorders>
          </w:tcPr>
          <w:p w:rsidR="00F73ED9" w:rsidRPr="008F0789" w:rsidRDefault="00F73ED9" w:rsidP="00F73ED9">
            <w:r>
              <w:lastRenderedPageBreak/>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lastRenderedPageBreak/>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25B64" w:rsidRPr="008F0789" w:rsidRDefault="00A25B64" w:rsidP="00A25B64">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w:t>
            </w:r>
            <w:r w:rsidRPr="008F0789">
              <w:lastRenderedPageBreak/>
              <w:t>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12255" w:rsidRPr="006A555A">
        <w:rPr>
          <w:b/>
          <w:bCs/>
        </w:rPr>
        <w:t>свежеморожен</w:t>
      </w:r>
      <w:r w:rsidR="00512255">
        <w:rPr>
          <w:b/>
          <w:bCs/>
        </w:rPr>
        <w:t>ая</w:t>
      </w:r>
      <w:r w:rsidR="00512255" w:rsidRPr="006A555A">
        <w:rPr>
          <w:b/>
          <w:bCs/>
        </w:rPr>
        <w:t xml:space="preserve"> рыб</w:t>
      </w:r>
      <w:r w:rsidR="00512255">
        <w:rPr>
          <w:b/>
          <w:bCs/>
        </w:rPr>
        <w:t>а</w:t>
      </w:r>
      <w:r w:rsidR="00512255" w:rsidRPr="006A555A">
        <w:rPr>
          <w:b/>
          <w:bCs/>
        </w:rPr>
        <w:t xml:space="preserve"> и полуфабрикат</w:t>
      </w:r>
      <w:r w:rsidR="00512255">
        <w:rPr>
          <w:b/>
          <w:bCs/>
        </w:rPr>
        <w:t>ы</w:t>
      </w:r>
      <w:r w:rsidR="00512255" w:rsidRPr="006A555A">
        <w:rPr>
          <w:b/>
          <w:bCs/>
        </w:rPr>
        <w:t xml:space="preserve"> из нее для предприятий общественного питания Свободненского ТПО, оказывающих услуги питания работникам ОАО "РЖД"</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512255">
        <w:t>6</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512255">
        <w:rPr>
          <w:rFonts w:ascii="Times New Roman" w:hAnsi="Times New Roman" w:cs="Times New Roman"/>
          <w:i w:val="0"/>
          <w:sz w:val="24"/>
          <w:szCs w:val="24"/>
        </w:rPr>
        <w:t>6</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512255" w:rsidRDefault="003369BB" w:rsidP="00616014">
      <w:pPr>
        <w:ind w:firstLine="567"/>
        <w:rPr>
          <w:i/>
          <w:color w:val="FF0000"/>
        </w:rPr>
      </w:pPr>
      <w:r w:rsidRPr="00512255">
        <w:rPr>
          <w:i/>
          <w:color w:val="FF0000"/>
        </w:rPr>
        <w:t xml:space="preserve">Заявка должна быть подготовлена отдельно на каждый лот и предоставляется в формате </w:t>
      </w:r>
      <w:r w:rsidRPr="00512255">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512255" w:rsidRPr="00416475">
        <w:rPr>
          <w:b/>
          <w:bCs/>
          <w:sz w:val="24"/>
          <w:szCs w:val="24"/>
        </w:rPr>
        <w:t>ЗКТ-</w:t>
      </w:r>
      <w:r w:rsidR="00512255">
        <w:rPr>
          <w:b/>
          <w:bCs/>
          <w:sz w:val="24"/>
          <w:szCs w:val="24"/>
        </w:rPr>
        <w:t>26</w:t>
      </w:r>
      <w:r w:rsidR="00512255" w:rsidRPr="00416475">
        <w:rPr>
          <w:b/>
          <w:bCs/>
          <w:sz w:val="24"/>
          <w:szCs w:val="24"/>
        </w:rPr>
        <w:t>/</w:t>
      </w:r>
      <w:r w:rsidR="00512255">
        <w:rPr>
          <w:b/>
          <w:bCs/>
          <w:sz w:val="24"/>
          <w:szCs w:val="24"/>
        </w:rPr>
        <w:t>20</w:t>
      </w:r>
      <w:r w:rsidR="00512255" w:rsidRPr="00416475">
        <w:rPr>
          <w:b/>
          <w:bCs/>
          <w:sz w:val="24"/>
          <w:szCs w:val="24"/>
        </w:rPr>
        <w:t xml:space="preserve"> на право заключения договора поставки </w:t>
      </w:r>
      <w:r w:rsidR="00512255" w:rsidRPr="006A555A">
        <w:rPr>
          <w:b/>
          <w:bCs/>
          <w:sz w:val="24"/>
          <w:szCs w:val="24"/>
        </w:rPr>
        <w:t>свежемороженой рыбы и полуфабрикатов из нее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9D6739">
              <w:rPr>
                <w:sz w:val="24"/>
              </w:rPr>
            </w:r>
            <w:r w:rsidR="009D6739">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12255" w:rsidRPr="00416475">
        <w:rPr>
          <w:b/>
          <w:bCs/>
          <w:sz w:val="24"/>
          <w:szCs w:val="24"/>
        </w:rPr>
        <w:t>ЗКТ-</w:t>
      </w:r>
      <w:r w:rsidR="00512255">
        <w:rPr>
          <w:b/>
          <w:bCs/>
          <w:sz w:val="24"/>
          <w:szCs w:val="24"/>
        </w:rPr>
        <w:t>26</w:t>
      </w:r>
      <w:r w:rsidR="00512255" w:rsidRPr="00416475">
        <w:rPr>
          <w:b/>
          <w:bCs/>
          <w:sz w:val="24"/>
          <w:szCs w:val="24"/>
        </w:rPr>
        <w:t>/</w:t>
      </w:r>
      <w:r w:rsidR="00512255">
        <w:rPr>
          <w:b/>
          <w:bCs/>
          <w:sz w:val="24"/>
          <w:szCs w:val="24"/>
        </w:rPr>
        <w:t>20</w:t>
      </w:r>
      <w:r w:rsidR="00512255" w:rsidRPr="00416475">
        <w:rPr>
          <w:b/>
          <w:bCs/>
          <w:sz w:val="24"/>
          <w:szCs w:val="24"/>
        </w:rPr>
        <w:t xml:space="preserve"> на право заключения договора поставки </w:t>
      </w:r>
      <w:r w:rsidR="00512255" w:rsidRPr="006A555A">
        <w:rPr>
          <w:b/>
          <w:bCs/>
          <w:sz w:val="24"/>
          <w:szCs w:val="24"/>
        </w:rPr>
        <w:t>свежемороженой рыбы и полуфабрикатов из нее для предприятий общественного питания Свободненского ТПО, оказывающих услуги питания работникам ОАО "РЖД"</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bookmarkStart w:id="9" w:name="_GoBack"/>
      <w:bookmarkEnd w:id="9"/>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22267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22267B">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39" w:rsidRDefault="009D6739" w:rsidP="00D63907">
      <w:r>
        <w:separator/>
      </w:r>
    </w:p>
  </w:endnote>
  <w:endnote w:type="continuationSeparator" w:id="0">
    <w:p w:rsidR="009D6739" w:rsidRDefault="009D673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12255">
      <w:rPr>
        <w:noProof/>
        <w:sz w:val="18"/>
        <w:szCs w:val="18"/>
      </w:rPr>
      <w:t>24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12255">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39" w:rsidRDefault="009D6739" w:rsidP="00D63907">
      <w:r>
        <w:separator/>
      </w:r>
    </w:p>
  </w:footnote>
  <w:footnote w:type="continuationSeparator" w:id="0">
    <w:p w:rsidR="009D6739" w:rsidRDefault="009D6739"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2"/>
  </w:num>
  <w:num w:numId="2">
    <w:abstractNumId w:val="16"/>
  </w:num>
  <w:num w:numId="3">
    <w:abstractNumId w:val="11"/>
  </w:num>
  <w:num w:numId="4">
    <w:abstractNumId w:val="17"/>
  </w:num>
  <w:num w:numId="5">
    <w:abstractNumId w:val="5"/>
  </w:num>
  <w:num w:numId="6">
    <w:abstractNumId w:val="7"/>
  </w:num>
  <w:num w:numId="7">
    <w:abstractNumId w:val="3"/>
  </w:num>
  <w:num w:numId="8">
    <w:abstractNumId w:val="10"/>
  </w:num>
  <w:num w:numId="9">
    <w:abstractNumId w:val="4"/>
  </w:num>
  <w:num w:numId="10">
    <w:abstractNumId w:val="20"/>
  </w:num>
  <w:num w:numId="11">
    <w:abstractNumId w:val="2"/>
  </w:num>
  <w:num w:numId="12">
    <w:abstractNumId w:val="19"/>
  </w:num>
  <w:num w:numId="13">
    <w:abstractNumId w:val="13"/>
  </w:num>
  <w:num w:numId="14">
    <w:abstractNumId w:val="1"/>
  </w:num>
  <w:num w:numId="15">
    <w:abstractNumId w:val="12"/>
  </w:num>
  <w:num w:numId="16">
    <w:abstractNumId w:val="8"/>
  </w:num>
  <w:num w:numId="17">
    <w:abstractNumId w:val="18"/>
  </w:num>
  <w:num w:numId="18">
    <w:abstractNumId w:val="15"/>
  </w:num>
  <w:num w:numId="19">
    <w:abstractNumId w:val="23"/>
  </w:num>
  <w:num w:numId="20">
    <w:abstractNumId w:val="0"/>
  </w:num>
  <w:num w:numId="21">
    <w:abstractNumId w:val="21"/>
  </w:num>
  <w:num w:numId="22">
    <w:abstractNumId w:val="9"/>
  </w:num>
  <w:num w:numId="23">
    <w:abstractNumId w:val="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18F"/>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255"/>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1E7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71149"/>
    <w:rsid w:val="009802A1"/>
    <w:rsid w:val="0098141F"/>
    <w:rsid w:val="009A3E89"/>
    <w:rsid w:val="009A6A44"/>
    <w:rsid w:val="009B4A9D"/>
    <w:rsid w:val="009B6741"/>
    <w:rsid w:val="009B6FCD"/>
    <w:rsid w:val="009B78DA"/>
    <w:rsid w:val="009C12D3"/>
    <w:rsid w:val="009C2FB4"/>
    <w:rsid w:val="009D3494"/>
    <w:rsid w:val="009D6739"/>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01DB"/>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9C5A0C"/>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891E7B"/>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891E7B"/>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891E7B"/>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891E7B"/>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891E7B"/>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891E7B"/>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891E7B"/>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891E7B"/>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891E7B"/>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891E7B"/>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891E7B"/>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891E7B"/>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891E7B"/>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891E7B"/>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1E7B"/>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891E7B"/>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891E7B"/>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891E7B"/>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891E7B"/>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891E7B"/>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891E7B"/>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891E7B"/>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891E7B"/>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891E7B"/>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891E7B"/>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891E7B"/>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891E7B"/>
    <w:rPr>
      <w:rFonts w:ascii="Times New Roman" w:hAnsi="Times New Roman" w:cs="Times New Roman"/>
      <w:sz w:val="24"/>
      <w:szCs w:val="24"/>
    </w:rPr>
  </w:style>
  <w:style w:type="paragraph" w:styleId="aff8">
    <w:name w:val="Normal (Web)"/>
    <w:basedOn w:val="a0"/>
    <w:uiPriority w:val="99"/>
    <w:semiHidden/>
    <w:unhideWhenUsed/>
    <w:rsid w:val="00891E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4F800B-34EC-4CCD-9F31-9A33FE3F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66</Pages>
  <Words>25935</Words>
  <Characters>147831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117</cp:revision>
  <cp:lastPrinted>2019-11-06T09:14:00Z</cp:lastPrinted>
  <dcterms:created xsi:type="dcterms:W3CDTF">2019-09-26T05:55:00Z</dcterms:created>
  <dcterms:modified xsi:type="dcterms:W3CDTF">2021-02-27T06:44:00Z</dcterms:modified>
</cp:coreProperties>
</file>