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1F622B">
        <w:rPr>
          <w:b/>
          <w:bCs/>
          <w:szCs w:val="28"/>
        </w:rPr>
        <w:t>30</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64603B"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64603B"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64603B"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64603B"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64603B"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64603B"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1F622B">
        <w:rPr>
          <w:b/>
          <w:bCs/>
          <w:szCs w:val="28"/>
        </w:rPr>
        <w:t>30</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1F622B" w:rsidP="00C93CE7">
      <w:pPr>
        <w:ind w:firstLine="708"/>
        <w:jc w:val="both"/>
      </w:pPr>
      <w:r>
        <w:rPr>
          <w:b/>
        </w:rPr>
        <w:t>1 137</w:t>
      </w:r>
      <w:r w:rsidR="000B4D8A" w:rsidRPr="00497678">
        <w:rPr>
          <w:b/>
        </w:rPr>
        <w:t> </w:t>
      </w:r>
      <w:r>
        <w:rPr>
          <w:b/>
        </w:rPr>
        <w:t>427</w:t>
      </w:r>
      <w:r w:rsidR="000B4D8A" w:rsidRPr="00497678">
        <w:rPr>
          <w:b/>
        </w:rPr>
        <w:t xml:space="preserve"> (</w:t>
      </w:r>
      <w:r>
        <w:rPr>
          <w:b/>
        </w:rPr>
        <w:t>Один миллион сто тридцать семь</w:t>
      </w:r>
      <w:r w:rsidR="0065625A" w:rsidRPr="00497678">
        <w:rPr>
          <w:b/>
        </w:rPr>
        <w:t xml:space="preserve"> </w:t>
      </w:r>
      <w:r w:rsidR="000B4D8A" w:rsidRPr="00497678">
        <w:rPr>
          <w:b/>
        </w:rPr>
        <w:t>тысяч</w:t>
      </w:r>
      <w:r w:rsidR="00D56C20" w:rsidRPr="00497678">
        <w:rPr>
          <w:b/>
        </w:rPr>
        <w:t xml:space="preserve"> </w:t>
      </w:r>
      <w:r w:rsidR="00A8066E">
        <w:rPr>
          <w:b/>
        </w:rPr>
        <w:t xml:space="preserve">четыреста </w:t>
      </w:r>
      <w:r>
        <w:rPr>
          <w:b/>
        </w:rPr>
        <w:t>двадцать семь</w:t>
      </w:r>
      <w:r w:rsidR="000B4D8A" w:rsidRPr="00497678">
        <w:rPr>
          <w:b/>
        </w:rPr>
        <w:t xml:space="preserve">) руб. </w:t>
      </w:r>
      <w:r w:rsidR="00AC7C29">
        <w:rPr>
          <w:b/>
        </w:rPr>
        <w:t>0</w:t>
      </w:r>
      <w:r w:rsidR="000B4D8A" w:rsidRPr="00497678">
        <w:rPr>
          <w:b/>
        </w:rPr>
        <w:t>0 коп.</w:t>
      </w:r>
      <w:r w:rsidR="00497678" w:rsidRPr="00497678">
        <w:rPr>
          <w:b/>
        </w:rPr>
        <w:t xml:space="preserve"> </w:t>
      </w:r>
      <w:r w:rsidR="00C93CE7" w:rsidRPr="00497678">
        <w:t>с учетом НДС;</w:t>
      </w:r>
    </w:p>
    <w:p w:rsidR="00C93CE7" w:rsidRPr="00497678" w:rsidRDefault="009640D0" w:rsidP="00C93CE7">
      <w:pPr>
        <w:ind w:firstLine="708"/>
        <w:jc w:val="both"/>
      </w:pPr>
      <w:r>
        <w:rPr>
          <w:b/>
        </w:rPr>
        <w:t>991</w:t>
      </w:r>
      <w:r w:rsidR="005E6D98" w:rsidRPr="00497678">
        <w:rPr>
          <w:b/>
        </w:rPr>
        <w:t> </w:t>
      </w:r>
      <w:r>
        <w:rPr>
          <w:b/>
        </w:rPr>
        <w:t>457</w:t>
      </w:r>
      <w:r w:rsidR="005E6D98" w:rsidRPr="00497678">
        <w:rPr>
          <w:b/>
        </w:rPr>
        <w:t xml:space="preserve"> (</w:t>
      </w:r>
      <w:r>
        <w:rPr>
          <w:b/>
        </w:rPr>
        <w:t>Девя</w:t>
      </w:r>
      <w:r w:rsidR="007D7E43">
        <w:rPr>
          <w:b/>
        </w:rPr>
        <w:t>тьсот девя</w:t>
      </w:r>
      <w:r>
        <w:rPr>
          <w:b/>
        </w:rPr>
        <w:t>носто одна</w:t>
      </w:r>
      <w:r w:rsidR="005E6D98" w:rsidRPr="00497678">
        <w:rPr>
          <w:b/>
        </w:rPr>
        <w:t xml:space="preserve"> тысяч</w:t>
      </w:r>
      <w:r>
        <w:rPr>
          <w:b/>
        </w:rPr>
        <w:t>а</w:t>
      </w:r>
      <w:r w:rsidR="005E6D98" w:rsidRPr="00497678">
        <w:rPr>
          <w:b/>
        </w:rPr>
        <w:t xml:space="preserve"> </w:t>
      </w:r>
      <w:r>
        <w:rPr>
          <w:b/>
        </w:rPr>
        <w:t>четыреста пятьдесят семь</w:t>
      </w:r>
      <w:r w:rsidR="005E6D98" w:rsidRPr="00497678">
        <w:rPr>
          <w:b/>
        </w:rPr>
        <w:t xml:space="preserve">) руб. </w:t>
      </w:r>
      <w:r>
        <w:rPr>
          <w:b/>
        </w:rPr>
        <w:t>17</w:t>
      </w:r>
      <w:r w:rsidR="005E6D98"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396663">
        <w:rPr>
          <w:b/>
          <w:szCs w:val="28"/>
        </w:rPr>
        <w:t>49</w:t>
      </w:r>
      <w:r w:rsidR="00FC72A5" w:rsidRPr="00497678">
        <w:rPr>
          <w:b/>
          <w:szCs w:val="28"/>
        </w:rPr>
        <w:t xml:space="preserve"> </w:t>
      </w:r>
      <w:r w:rsidR="00396663">
        <w:rPr>
          <w:b/>
          <w:szCs w:val="28"/>
        </w:rPr>
        <w:t>572</w:t>
      </w:r>
      <w:r w:rsidR="000B4D8A" w:rsidRPr="00497678">
        <w:rPr>
          <w:b/>
          <w:szCs w:val="28"/>
        </w:rPr>
        <w:t xml:space="preserve"> </w:t>
      </w:r>
      <w:r w:rsidR="000B4D8A" w:rsidRPr="00497678">
        <w:rPr>
          <w:b/>
        </w:rPr>
        <w:t>(</w:t>
      </w:r>
      <w:r w:rsidR="00396663">
        <w:rPr>
          <w:b/>
        </w:rPr>
        <w:t>Сорок девять</w:t>
      </w:r>
      <w:r w:rsidR="006F241F" w:rsidRPr="00497678">
        <w:rPr>
          <w:b/>
        </w:rPr>
        <w:t xml:space="preserve"> тысяч</w:t>
      </w:r>
      <w:r w:rsidR="00F51258" w:rsidRPr="00497678">
        <w:rPr>
          <w:b/>
        </w:rPr>
        <w:t xml:space="preserve"> </w:t>
      </w:r>
      <w:r w:rsidR="00396663">
        <w:rPr>
          <w:b/>
        </w:rPr>
        <w:t>п</w:t>
      </w:r>
      <w:r w:rsidR="004C11F3">
        <w:rPr>
          <w:b/>
        </w:rPr>
        <w:t>ят</w:t>
      </w:r>
      <w:r w:rsidR="00A44AB4">
        <w:rPr>
          <w:b/>
        </w:rPr>
        <w:t xml:space="preserve">ьсот </w:t>
      </w:r>
      <w:r w:rsidR="00396663">
        <w:rPr>
          <w:b/>
        </w:rPr>
        <w:t>семьдесят два</w:t>
      </w:r>
      <w:r w:rsidR="000B4D8A" w:rsidRPr="00497678">
        <w:rPr>
          <w:b/>
        </w:rPr>
        <w:t xml:space="preserve">) руб. </w:t>
      </w:r>
      <w:r w:rsidR="00396663">
        <w:rPr>
          <w:b/>
        </w:rPr>
        <w:t>86</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E76109">
        <w:rPr>
          <w:b/>
          <w:szCs w:val="28"/>
        </w:rPr>
        <w:t>17</w:t>
      </w:r>
      <w:r w:rsidR="00BC0B52" w:rsidRPr="00497678">
        <w:rPr>
          <w:b/>
          <w:szCs w:val="28"/>
        </w:rPr>
        <w:t>.</w:t>
      </w:r>
      <w:r w:rsidR="006768E8" w:rsidRPr="00497678">
        <w:rPr>
          <w:b/>
          <w:szCs w:val="28"/>
        </w:rPr>
        <w:t>0</w:t>
      </w:r>
      <w:r w:rsidR="00E76109">
        <w:rPr>
          <w:b/>
          <w:szCs w:val="28"/>
        </w:rPr>
        <w:t>9</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746671">
        <w:rPr>
          <w:b/>
          <w:szCs w:val="28"/>
        </w:rPr>
        <w:t>1</w:t>
      </w:r>
      <w:r w:rsidR="00E76109">
        <w:rPr>
          <w:b/>
          <w:szCs w:val="28"/>
        </w:rPr>
        <w:t>4</w:t>
      </w:r>
      <w:r w:rsidR="00C458A4" w:rsidRPr="00497678">
        <w:rPr>
          <w:b/>
          <w:szCs w:val="28"/>
        </w:rPr>
        <w:t>.</w:t>
      </w:r>
      <w:r w:rsidR="006768E8" w:rsidRPr="00497678">
        <w:rPr>
          <w:b/>
          <w:szCs w:val="28"/>
        </w:rPr>
        <w:t>0</w:t>
      </w:r>
      <w:r w:rsidR="00E76109">
        <w:rPr>
          <w:b/>
          <w:szCs w:val="28"/>
        </w:rPr>
        <w:t>8</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C935C0">
        <w:rPr>
          <w:b/>
          <w:szCs w:val="28"/>
        </w:rPr>
        <w:t>14</w:t>
      </w:r>
      <w:r w:rsidR="00C458A4" w:rsidRPr="00497678">
        <w:rPr>
          <w:b/>
          <w:szCs w:val="28"/>
        </w:rPr>
        <w:t>.</w:t>
      </w:r>
      <w:r w:rsidR="006768E8" w:rsidRPr="00497678">
        <w:rPr>
          <w:b/>
          <w:szCs w:val="28"/>
        </w:rPr>
        <w:t>0</w:t>
      </w:r>
      <w:r w:rsidR="00C935C0">
        <w:rPr>
          <w:b/>
          <w:szCs w:val="28"/>
        </w:rPr>
        <w:t>9</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1F622B">
        <w:rPr>
          <w:b/>
          <w:bCs/>
          <w:szCs w:val="28"/>
        </w:rPr>
        <w:t>30</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C935C0">
        <w:rPr>
          <w:b/>
          <w:szCs w:val="28"/>
        </w:rPr>
        <w:t>15</w:t>
      </w:r>
      <w:r w:rsidR="00C458A4" w:rsidRPr="00497678">
        <w:rPr>
          <w:b/>
          <w:szCs w:val="28"/>
        </w:rPr>
        <w:t>.</w:t>
      </w:r>
      <w:r w:rsidR="006768E8" w:rsidRPr="00497678">
        <w:rPr>
          <w:b/>
          <w:szCs w:val="28"/>
        </w:rPr>
        <w:t>0</w:t>
      </w:r>
      <w:r w:rsidR="00C935C0">
        <w:rPr>
          <w:b/>
          <w:szCs w:val="28"/>
        </w:rPr>
        <w:t>9</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5A28DA">
        <w:rPr>
          <w:b/>
        </w:rPr>
        <w:t>99</w:t>
      </w:r>
      <w:r w:rsidR="00153D36" w:rsidRPr="00497678">
        <w:rPr>
          <w:b/>
        </w:rPr>
        <w:t xml:space="preserve"> </w:t>
      </w:r>
      <w:r w:rsidR="005A28DA">
        <w:rPr>
          <w:b/>
        </w:rPr>
        <w:t>145</w:t>
      </w:r>
      <w:r w:rsidR="00153D36" w:rsidRPr="00497678">
        <w:rPr>
          <w:b/>
        </w:rPr>
        <w:t xml:space="preserve"> (</w:t>
      </w:r>
      <w:r w:rsidR="005A28DA">
        <w:rPr>
          <w:b/>
        </w:rPr>
        <w:t>Девяносто девять</w:t>
      </w:r>
      <w:r w:rsidR="00153D36" w:rsidRPr="00497678">
        <w:rPr>
          <w:b/>
        </w:rPr>
        <w:t xml:space="preserve"> тысяч</w:t>
      </w:r>
      <w:r w:rsidR="00FA2953" w:rsidRPr="00497678">
        <w:rPr>
          <w:b/>
        </w:rPr>
        <w:t xml:space="preserve"> </w:t>
      </w:r>
      <w:r w:rsidR="005A28DA">
        <w:rPr>
          <w:b/>
        </w:rPr>
        <w:t>сто сорок пять</w:t>
      </w:r>
      <w:r w:rsidR="00153D36" w:rsidRPr="00497678">
        <w:rPr>
          <w:b/>
        </w:rPr>
        <w:t xml:space="preserve">) руб. </w:t>
      </w:r>
      <w:r w:rsidR="00E42A98">
        <w:rPr>
          <w:b/>
        </w:rPr>
        <w:t>7</w:t>
      </w:r>
      <w:r w:rsidR="005A28DA">
        <w:rPr>
          <w:b/>
        </w:rPr>
        <w:t>2</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64603B"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AC23F7">
        <w:rPr>
          <w:b/>
          <w:szCs w:val="28"/>
        </w:rPr>
        <w:t>15</w:t>
      </w:r>
      <w:r w:rsidR="00274AD1" w:rsidRPr="00497678">
        <w:rPr>
          <w:b/>
          <w:szCs w:val="28"/>
        </w:rPr>
        <w:t xml:space="preserve">» </w:t>
      </w:r>
      <w:r w:rsidR="00AC23F7">
        <w:rPr>
          <w:b/>
          <w:szCs w:val="28"/>
        </w:rPr>
        <w:t>сентября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145618" w:rsidRPr="00EA69F3">
        <w:rPr>
          <w:szCs w:val="28"/>
        </w:rPr>
        <w:t xml:space="preserve">Запись в ЕГРН от </w:t>
      </w:r>
      <w:r w:rsidR="00055E8F">
        <w:rPr>
          <w:szCs w:val="28"/>
        </w:rPr>
        <w:t>01</w:t>
      </w:r>
      <w:r w:rsidR="00055E8F" w:rsidRPr="00806F2A">
        <w:rPr>
          <w:szCs w:val="28"/>
        </w:rPr>
        <w:t xml:space="preserve"> </w:t>
      </w:r>
      <w:r w:rsidR="00055E8F">
        <w:rPr>
          <w:szCs w:val="28"/>
        </w:rPr>
        <w:t>но</w:t>
      </w:r>
      <w:r w:rsidR="00055E8F" w:rsidRPr="00806F2A">
        <w:rPr>
          <w:szCs w:val="28"/>
        </w:rPr>
        <w:t>ября 2007 г., № 24-24-</w:t>
      </w:r>
      <w:r w:rsidR="00055E8F">
        <w:rPr>
          <w:szCs w:val="28"/>
        </w:rPr>
        <w:t>10</w:t>
      </w:r>
      <w:r w:rsidR="00055E8F" w:rsidRPr="00806F2A">
        <w:rPr>
          <w:szCs w:val="28"/>
        </w:rPr>
        <w:t>/</w:t>
      </w:r>
      <w:r w:rsidR="00055E8F">
        <w:rPr>
          <w:szCs w:val="28"/>
        </w:rPr>
        <w:t>018</w:t>
      </w:r>
      <w:r w:rsidR="00055E8F" w:rsidRPr="00806F2A">
        <w:rPr>
          <w:szCs w:val="28"/>
        </w:rPr>
        <w:t>/2007-</w:t>
      </w:r>
      <w:r w:rsidR="00055E8F">
        <w:rPr>
          <w:szCs w:val="28"/>
        </w:rPr>
        <w:t>242</w:t>
      </w:r>
      <w:r w:rsidR="00055E8F" w:rsidRPr="00806F2A">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E08E4" w:rsidRPr="00806F2A">
        <w:rPr>
          <w:sz w:val="28"/>
          <w:szCs w:val="28"/>
        </w:rPr>
        <w:t xml:space="preserve">Россия, </w:t>
      </w:r>
      <w:r w:rsidR="00AE08E4">
        <w:rPr>
          <w:rStyle w:val="FontStyle28"/>
          <w:sz w:val="28"/>
          <w:szCs w:val="28"/>
        </w:rPr>
        <w:t xml:space="preserve">Красноярский край, </w:t>
      </w:r>
      <w:proofErr w:type="spellStart"/>
      <w:r w:rsidR="00AE08E4">
        <w:rPr>
          <w:rStyle w:val="FontStyle28"/>
          <w:sz w:val="28"/>
          <w:szCs w:val="28"/>
        </w:rPr>
        <w:t>Емельяновский</w:t>
      </w:r>
      <w:proofErr w:type="spellEnd"/>
      <w:r w:rsidR="00AE08E4">
        <w:rPr>
          <w:rStyle w:val="FontStyle28"/>
          <w:sz w:val="28"/>
          <w:szCs w:val="28"/>
        </w:rPr>
        <w:t xml:space="preserve"> р-н, пос. </w:t>
      </w:r>
      <w:proofErr w:type="spellStart"/>
      <w:r w:rsidR="00AE08E4">
        <w:rPr>
          <w:rStyle w:val="FontStyle28"/>
          <w:sz w:val="28"/>
          <w:szCs w:val="28"/>
        </w:rPr>
        <w:t>Минино</w:t>
      </w:r>
      <w:proofErr w:type="spellEnd"/>
      <w:r w:rsidR="00AE08E4">
        <w:rPr>
          <w:rStyle w:val="FontStyle28"/>
          <w:sz w:val="28"/>
          <w:szCs w:val="28"/>
        </w:rPr>
        <w:t>, ул. Вокзальная, № 7</w:t>
      </w:r>
      <w:r w:rsidR="00AE08E4" w:rsidRPr="00806F2A">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1371AC" w:rsidRPr="002F5CE2" w:rsidTr="001B2A28">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Фотографии</w:t>
            </w:r>
          </w:p>
        </w:tc>
      </w:tr>
      <w:tr w:rsidR="00707171"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707171" w:rsidRPr="00423AF8" w:rsidRDefault="00707171" w:rsidP="00707171">
            <w:pPr>
              <w:jc w:val="center"/>
              <w:rPr>
                <w:sz w:val="26"/>
                <w:szCs w:val="26"/>
              </w:rPr>
            </w:pPr>
            <w:r w:rsidRPr="00423AF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707171" w:rsidRPr="009B63D1" w:rsidRDefault="00707171" w:rsidP="00707171">
            <w:pPr>
              <w:jc w:val="center"/>
              <w:rPr>
                <w:color w:val="000000"/>
              </w:rPr>
            </w:pPr>
            <w:r w:rsidRPr="00CA00B6">
              <w:rPr>
                <w:sz w:val="26"/>
                <w:szCs w:val="26"/>
              </w:rPr>
              <w:t>Нежилое здание</w:t>
            </w:r>
            <w:r>
              <w:rPr>
                <w:sz w:val="26"/>
                <w:szCs w:val="26"/>
              </w:rPr>
              <w:t xml:space="preserve">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707171" w:rsidRPr="00CA00B6" w:rsidRDefault="00707171" w:rsidP="00707171">
            <w:pPr>
              <w:jc w:val="center"/>
              <w:rPr>
                <w:sz w:val="26"/>
                <w:szCs w:val="26"/>
              </w:rPr>
            </w:pPr>
            <w:r>
              <w:rPr>
                <w:sz w:val="26"/>
                <w:szCs w:val="26"/>
              </w:rPr>
              <w:t>291</w:t>
            </w:r>
            <w:r w:rsidRPr="00CA00B6">
              <w:rPr>
                <w:sz w:val="26"/>
                <w:szCs w:val="26"/>
              </w:rPr>
              <w:t>,</w:t>
            </w:r>
            <w:r>
              <w:rPr>
                <w:sz w:val="26"/>
                <w:szCs w:val="26"/>
              </w:rPr>
              <w:t>2</w:t>
            </w:r>
          </w:p>
        </w:tc>
        <w:tc>
          <w:tcPr>
            <w:tcW w:w="518" w:type="pct"/>
            <w:tcBorders>
              <w:top w:val="single" w:sz="6" w:space="0" w:color="auto"/>
              <w:left w:val="single" w:sz="6" w:space="0" w:color="auto"/>
              <w:bottom w:val="single" w:sz="6" w:space="0" w:color="auto"/>
              <w:right w:val="single" w:sz="6" w:space="0" w:color="auto"/>
            </w:tcBorders>
            <w:vAlign w:val="center"/>
          </w:tcPr>
          <w:p w:rsidR="00707171" w:rsidRPr="00CA00B6" w:rsidRDefault="00707171" w:rsidP="00707171">
            <w:pPr>
              <w:jc w:val="center"/>
              <w:rPr>
                <w:sz w:val="26"/>
                <w:szCs w:val="26"/>
              </w:rPr>
            </w:pPr>
            <w:r w:rsidRPr="004B09AF">
              <w:rPr>
                <w:sz w:val="26"/>
                <w:szCs w:val="26"/>
              </w:rPr>
              <w:t>19</w:t>
            </w:r>
            <w:r>
              <w:rPr>
                <w:sz w:val="26"/>
                <w:szCs w:val="26"/>
              </w:rPr>
              <w:t>61</w:t>
            </w:r>
          </w:p>
        </w:tc>
        <w:tc>
          <w:tcPr>
            <w:tcW w:w="2893" w:type="pct"/>
            <w:tcBorders>
              <w:top w:val="single" w:sz="6" w:space="0" w:color="auto"/>
              <w:left w:val="single" w:sz="6" w:space="0" w:color="auto"/>
              <w:bottom w:val="single" w:sz="6" w:space="0" w:color="auto"/>
              <w:right w:val="single" w:sz="6" w:space="0" w:color="auto"/>
            </w:tcBorders>
          </w:tcPr>
          <w:p w:rsidR="00707171" w:rsidRPr="002F5CE2" w:rsidRDefault="00707171" w:rsidP="00707171">
            <w:pPr>
              <w:pStyle w:val="Style13"/>
              <w:widowControl/>
              <w:rPr>
                <w:rStyle w:val="FontStyle25"/>
                <w:sz w:val="18"/>
              </w:rPr>
            </w:pPr>
            <w:r w:rsidRPr="002F5CE2">
              <w:rPr>
                <w:rStyle w:val="FontStyle25"/>
                <w:sz w:val="18"/>
              </w:rPr>
              <w:t xml:space="preserve">   </w:t>
            </w:r>
          </w:p>
          <w:p w:rsidR="00707171" w:rsidRPr="002F5CE2" w:rsidRDefault="00B14E71" w:rsidP="00707171">
            <w:pPr>
              <w:pStyle w:val="Style13"/>
              <w:widowControl/>
              <w:rPr>
                <w:rStyle w:val="FontStyle25"/>
                <w:sz w:val="18"/>
              </w:rPr>
            </w:pPr>
            <w:r>
              <w:rPr>
                <w:noProof/>
                <w:sz w:val="18"/>
                <w:szCs w:val="18"/>
              </w:rPr>
              <w:drawing>
                <wp:inline distT="0" distB="0" distL="0" distR="0" wp14:anchorId="273D011E" wp14:editId="6A60A58D">
                  <wp:extent cx="1617345" cy="1635935"/>
                  <wp:effectExtent l="0" t="0" r="1905" b="2540"/>
                  <wp:docPr id="1" name="Рисунок 1" descr="C:\Users\vser\Documents\ПРОДАЖА\Минино\2017\Документы на совет директоров\Фото\IMG_0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er\Documents\ПРОДАЖА\Минино\2017\Документы на совет директоров\Фото\IMG_098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841" cy="1638459"/>
                          </a:xfrm>
                          <a:prstGeom prst="rect">
                            <a:avLst/>
                          </a:prstGeom>
                          <a:noFill/>
                          <a:ln>
                            <a:noFill/>
                          </a:ln>
                        </pic:spPr>
                      </pic:pic>
                    </a:graphicData>
                  </a:graphic>
                </wp:inline>
              </w:drawing>
            </w:r>
            <w:r>
              <w:rPr>
                <w:noProof/>
                <w:sz w:val="18"/>
                <w:szCs w:val="18"/>
              </w:rPr>
              <w:drawing>
                <wp:inline distT="0" distB="0" distL="0" distR="0" wp14:anchorId="521371F4" wp14:editId="4F077A1A">
                  <wp:extent cx="1718945" cy="1570760"/>
                  <wp:effectExtent l="0" t="0" r="0" b="0"/>
                  <wp:docPr id="5" name="Рисунок 5" descr="C:\Users\vser\Documents\ПРОДАЖА\Минино\2017\Документы на совет директоров\Фото\IMG_0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er\Documents\ПРОДАЖА\Минино\2017\Документы на совет директоров\Фото\IMG_097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5113" cy="1576396"/>
                          </a:xfrm>
                          <a:prstGeom prst="rect">
                            <a:avLst/>
                          </a:prstGeom>
                          <a:noFill/>
                          <a:ln>
                            <a:noFill/>
                          </a:ln>
                        </pic:spPr>
                      </pic:pic>
                    </a:graphicData>
                  </a:graphic>
                </wp:inline>
              </w:drawing>
            </w:r>
          </w:p>
        </w:tc>
      </w:tr>
      <w:tr w:rsidR="00707171"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707171" w:rsidRPr="00423AF8" w:rsidRDefault="00707171" w:rsidP="00707171">
            <w:pPr>
              <w:jc w:val="center"/>
              <w:rPr>
                <w:sz w:val="26"/>
                <w:szCs w:val="26"/>
              </w:rPr>
            </w:pPr>
            <w:r w:rsidRPr="00423AF8">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707171" w:rsidRPr="009B63D1" w:rsidRDefault="00707171" w:rsidP="00707171">
            <w:pPr>
              <w:jc w:val="center"/>
              <w:rPr>
                <w:color w:val="000000"/>
              </w:rPr>
            </w:pPr>
            <w:r>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707171" w:rsidRPr="00CA00B6" w:rsidRDefault="00707171" w:rsidP="00707171">
            <w:pPr>
              <w:jc w:val="center"/>
              <w:rPr>
                <w:sz w:val="26"/>
                <w:szCs w:val="26"/>
              </w:rPr>
            </w:pPr>
            <w:r>
              <w:rPr>
                <w:sz w:val="26"/>
                <w:szCs w:val="26"/>
              </w:rPr>
              <w:t>1198</w:t>
            </w:r>
            <w:r w:rsidRPr="00CA00B6">
              <w:rPr>
                <w:sz w:val="26"/>
                <w:szCs w:val="26"/>
              </w:rPr>
              <w:t>,</w:t>
            </w:r>
            <w:r>
              <w:rPr>
                <w:sz w:val="26"/>
                <w:szCs w:val="26"/>
              </w:rPr>
              <w:t>0</w:t>
            </w:r>
          </w:p>
        </w:tc>
        <w:tc>
          <w:tcPr>
            <w:tcW w:w="518" w:type="pct"/>
            <w:tcBorders>
              <w:top w:val="single" w:sz="6" w:space="0" w:color="auto"/>
              <w:left w:val="single" w:sz="6" w:space="0" w:color="auto"/>
              <w:bottom w:val="single" w:sz="6" w:space="0" w:color="auto"/>
              <w:right w:val="single" w:sz="6" w:space="0" w:color="auto"/>
            </w:tcBorders>
            <w:vAlign w:val="center"/>
          </w:tcPr>
          <w:p w:rsidR="00707171" w:rsidRPr="00CA00B6" w:rsidRDefault="00707171" w:rsidP="00707171">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707171" w:rsidRPr="002F5CE2" w:rsidRDefault="00707171" w:rsidP="00707171">
            <w:pPr>
              <w:pStyle w:val="Style13"/>
              <w:widowControl/>
              <w:rPr>
                <w:rStyle w:val="FontStyle25"/>
                <w:sz w:val="18"/>
              </w:rPr>
            </w:pPr>
            <w:r w:rsidRPr="002F5CE2">
              <w:rPr>
                <w:rStyle w:val="FontStyle25"/>
                <w:sz w:val="18"/>
              </w:rPr>
              <w:t xml:space="preserve">   </w:t>
            </w:r>
          </w:p>
          <w:p w:rsidR="00707171" w:rsidRPr="002F5CE2" w:rsidRDefault="00B14E71" w:rsidP="00707171">
            <w:pPr>
              <w:pStyle w:val="Style13"/>
              <w:widowControl/>
              <w:rPr>
                <w:rStyle w:val="FontStyle25"/>
                <w:sz w:val="18"/>
              </w:rPr>
            </w:pPr>
            <w:r>
              <w:rPr>
                <w:noProof/>
                <w:sz w:val="18"/>
                <w:szCs w:val="18"/>
              </w:rPr>
              <w:drawing>
                <wp:inline distT="0" distB="0" distL="0" distR="0" wp14:anchorId="49C6673B" wp14:editId="5B732F61">
                  <wp:extent cx="1617345" cy="1352207"/>
                  <wp:effectExtent l="0" t="0" r="1905" b="635"/>
                  <wp:docPr id="2" name="Рисунок 2" descr="C:\Users\vser\Documents\ПРОДАЖА\Минино\2017\Документы на совет директоров\Фото\IMG_0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er\Documents\ПРОДАЖА\Минино\2017\Документы на совет директоров\Фото\IMG_098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6974" cy="1368619"/>
                          </a:xfrm>
                          <a:prstGeom prst="rect">
                            <a:avLst/>
                          </a:prstGeom>
                          <a:noFill/>
                          <a:ln>
                            <a:noFill/>
                          </a:ln>
                        </pic:spPr>
                      </pic:pic>
                    </a:graphicData>
                  </a:graphic>
                </wp:inline>
              </w:drawing>
            </w:r>
            <w:r>
              <w:rPr>
                <w:noProof/>
                <w:sz w:val="18"/>
                <w:szCs w:val="18"/>
              </w:rPr>
              <w:drawing>
                <wp:inline distT="0" distB="0" distL="0" distR="0" wp14:anchorId="1AA39540" wp14:editId="10A16A75">
                  <wp:extent cx="1743075" cy="1524000"/>
                  <wp:effectExtent l="0" t="0" r="9525" b="0"/>
                  <wp:docPr id="4" name="Рисунок 4" descr="C:\Users\vser\Documents\ПРОДАЖА\Минино\2017\Документы на совет директоров\Фото\IMG_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er\Documents\ПРОДАЖА\Минино\2017\Документы на совет директоров\Фото\IMG_098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3075" cy="1524000"/>
                          </a:xfrm>
                          <a:prstGeom prst="rect">
                            <a:avLst/>
                          </a:prstGeom>
                          <a:noFill/>
                          <a:ln>
                            <a:noFill/>
                          </a:ln>
                        </pic:spPr>
                      </pic:pic>
                    </a:graphicData>
                  </a:graphic>
                </wp:inline>
              </w:drawing>
            </w: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6A607F">
        <w:rPr>
          <w:b/>
        </w:rPr>
        <w:t>991</w:t>
      </w:r>
      <w:r w:rsidR="006A607F" w:rsidRPr="00497678">
        <w:rPr>
          <w:b/>
        </w:rPr>
        <w:t> </w:t>
      </w:r>
      <w:r w:rsidR="006A607F">
        <w:rPr>
          <w:b/>
        </w:rPr>
        <w:t>457</w:t>
      </w:r>
      <w:r w:rsidR="006A607F" w:rsidRPr="00497678">
        <w:rPr>
          <w:b/>
        </w:rPr>
        <w:t xml:space="preserve"> (</w:t>
      </w:r>
      <w:r w:rsidR="006A607F">
        <w:rPr>
          <w:b/>
        </w:rPr>
        <w:t>Девятьсот девяносто одна</w:t>
      </w:r>
      <w:r w:rsidR="006A607F" w:rsidRPr="00497678">
        <w:rPr>
          <w:b/>
        </w:rPr>
        <w:t xml:space="preserve"> тысяч</w:t>
      </w:r>
      <w:r w:rsidR="006A607F">
        <w:rPr>
          <w:b/>
        </w:rPr>
        <w:t>а</w:t>
      </w:r>
      <w:r w:rsidR="006A607F" w:rsidRPr="00497678">
        <w:rPr>
          <w:b/>
        </w:rPr>
        <w:t xml:space="preserve"> </w:t>
      </w:r>
      <w:r w:rsidR="006A607F">
        <w:rPr>
          <w:b/>
        </w:rPr>
        <w:t>четыреста пятьдесят семь</w:t>
      </w:r>
      <w:r w:rsidR="006A607F" w:rsidRPr="00497678">
        <w:rPr>
          <w:b/>
        </w:rPr>
        <w:t xml:space="preserve">) руб. </w:t>
      </w:r>
      <w:r w:rsidR="006A607F">
        <w:rPr>
          <w:b/>
        </w:rPr>
        <w:t>17</w:t>
      </w:r>
      <w:r w:rsidR="006A607F"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BA7A05" w:rsidRPr="004718AF">
        <w:rPr>
          <w:szCs w:val="28"/>
        </w:rPr>
        <w:t xml:space="preserve">Земельный участок под объектом общей площадью 1198,0 </w:t>
      </w:r>
      <w:proofErr w:type="spellStart"/>
      <w:proofErr w:type="gramStart"/>
      <w:r w:rsidR="00BA7A05" w:rsidRPr="004718AF">
        <w:rPr>
          <w:szCs w:val="28"/>
        </w:rPr>
        <w:t>кв.м</w:t>
      </w:r>
      <w:proofErr w:type="spellEnd"/>
      <w:proofErr w:type="gramEnd"/>
      <w:r w:rsidR="00BA7A05" w:rsidRPr="004718AF">
        <w:rPr>
          <w:szCs w:val="28"/>
        </w:rPr>
        <w:t>, кадастровый номер: 24:11:0060102:1321 является собственностью АО  «ЖТК», Запись в ЕГРН  от 17 февраля 2012 г., № 24-24-10/003/2012-308</w:t>
      </w:r>
      <w:bookmarkStart w:id="19" w:name="_GoBack"/>
      <w:bookmarkEnd w:id="19"/>
      <w:r w:rsidR="00221CA4" w:rsidRPr="00423AF8">
        <w:rPr>
          <w:szCs w:val="28"/>
        </w:rPr>
        <w:t>.</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Pr="00497678" w:rsidRDefault="00221CA4"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3B" w:rsidRDefault="0064603B">
      <w:r>
        <w:separator/>
      </w:r>
    </w:p>
  </w:endnote>
  <w:endnote w:type="continuationSeparator" w:id="0">
    <w:p w:rsidR="0064603B" w:rsidRDefault="0064603B">
      <w:r>
        <w:continuationSeparator/>
      </w:r>
    </w:p>
  </w:endnote>
  <w:endnote w:type="continuationNotice" w:id="1">
    <w:p w:rsidR="0064603B" w:rsidRDefault="00646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3B" w:rsidRDefault="0064603B">
      <w:r>
        <w:separator/>
      </w:r>
    </w:p>
  </w:footnote>
  <w:footnote w:type="continuationSeparator" w:id="0">
    <w:p w:rsidR="0064603B" w:rsidRDefault="0064603B">
      <w:r>
        <w:continuationSeparator/>
      </w:r>
    </w:p>
  </w:footnote>
  <w:footnote w:type="continuationNotice" w:id="1">
    <w:p w:rsidR="0064603B" w:rsidRDefault="0064603B"/>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A7A05">
      <w:rPr>
        <w:rStyle w:val="a9"/>
        <w:noProof/>
      </w:rPr>
      <w:t>26</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5E8F"/>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0F3C"/>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1AC"/>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45"/>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22B"/>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5B2"/>
    <w:rsid w:val="00214798"/>
    <w:rsid w:val="002152E2"/>
    <w:rsid w:val="002155DF"/>
    <w:rsid w:val="00216DCB"/>
    <w:rsid w:val="00217DCA"/>
    <w:rsid w:val="00220353"/>
    <w:rsid w:val="00220423"/>
    <w:rsid w:val="00220C52"/>
    <w:rsid w:val="00221458"/>
    <w:rsid w:val="00221459"/>
    <w:rsid w:val="00221ACD"/>
    <w:rsid w:val="00221CA4"/>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68CE"/>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391"/>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0D61"/>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663"/>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54D"/>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4D0"/>
    <w:rsid w:val="004B3CCD"/>
    <w:rsid w:val="004B3E4F"/>
    <w:rsid w:val="004B3FB1"/>
    <w:rsid w:val="004B409F"/>
    <w:rsid w:val="004B467B"/>
    <w:rsid w:val="004B4A66"/>
    <w:rsid w:val="004B50ED"/>
    <w:rsid w:val="004B5DD2"/>
    <w:rsid w:val="004B6746"/>
    <w:rsid w:val="004B7061"/>
    <w:rsid w:val="004B7F2C"/>
    <w:rsid w:val="004C0960"/>
    <w:rsid w:val="004C112F"/>
    <w:rsid w:val="004C11F3"/>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384E"/>
    <w:rsid w:val="004E44E9"/>
    <w:rsid w:val="004E48FA"/>
    <w:rsid w:val="004E516A"/>
    <w:rsid w:val="004E528E"/>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04"/>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4E4B"/>
    <w:rsid w:val="00595940"/>
    <w:rsid w:val="005967E6"/>
    <w:rsid w:val="00597456"/>
    <w:rsid w:val="00597D8F"/>
    <w:rsid w:val="00597E86"/>
    <w:rsid w:val="00597FE3"/>
    <w:rsid w:val="005A053C"/>
    <w:rsid w:val="005A0A4E"/>
    <w:rsid w:val="005A0B0C"/>
    <w:rsid w:val="005A23B8"/>
    <w:rsid w:val="005A28DA"/>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D98"/>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03B"/>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76A"/>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07F"/>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2B4"/>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171"/>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E43"/>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B8C"/>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4EAC"/>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2847"/>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0D0"/>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3C47"/>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2B20"/>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4AB4"/>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6E"/>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23F7"/>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8E4"/>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4E71"/>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6FC1"/>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A05"/>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5C0"/>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419"/>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A22"/>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2A8"/>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A98"/>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109"/>
    <w:rsid w:val="00E76432"/>
    <w:rsid w:val="00E76650"/>
    <w:rsid w:val="00E7721D"/>
    <w:rsid w:val="00E77915"/>
    <w:rsid w:val="00E800A8"/>
    <w:rsid w:val="00E800E3"/>
    <w:rsid w:val="00E80344"/>
    <w:rsid w:val="00E80644"/>
    <w:rsid w:val="00E80BE5"/>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9E9"/>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8CD"/>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0B2C"/>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0A7F"/>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26C"/>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2B6"/>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1BF1F"/>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35261-9A56-4E7B-9416-508E2860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9993</Words>
  <Characters>56963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66823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13</cp:revision>
  <cp:lastPrinted>2020-03-31T07:14:00Z</cp:lastPrinted>
  <dcterms:created xsi:type="dcterms:W3CDTF">2020-08-07T02:37:00Z</dcterms:created>
  <dcterms:modified xsi:type="dcterms:W3CDTF">2020-08-07T02:51:00Z</dcterms:modified>
</cp:coreProperties>
</file>