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4F4831" w:rsidRPr="00416475">
        <w:rPr>
          <w:b/>
          <w:bCs/>
        </w:rPr>
        <w:t>ЗКТ-</w:t>
      </w:r>
      <w:r w:rsidR="004F4831">
        <w:rPr>
          <w:b/>
          <w:bCs/>
        </w:rPr>
        <w:t>06</w:t>
      </w:r>
      <w:r w:rsidR="004F4831" w:rsidRPr="00416475">
        <w:rPr>
          <w:b/>
          <w:bCs/>
        </w:rPr>
        <w:t>/</w:t>
      </w:r>
      <w:r w:rsidR="004F4831">
        <w:rPr>
          <w:b/>
          <w:bCs/>
        </w:rPr>
        <w:t>21</w:t>
      </w:r>
      <w:r w:rsidR="004F4831" w:rsidRPr="00416475">
        <w:rPr>
          <w:b/>
          <w:bCs/>
        </w:rPr>
        <w:t xml:space="preserve"> на право заключения договора поставки </w:t>
      </w:r>
      <w:r w:rsidR="004F4831" w:rsidRPr="00A609F7">
        <w:rPr>
          <w:b/>
          <w:bCs/>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4F4831">
        <w:rPr>
          <w:b/>
          <w:bCs/>
        </w:rPr>
        <w:t xml:space="preserve"> </w:t>
      </w:r>
      <w:r w:rsidR="004F4831" w:rsidRPr="00A609F7">
        <w:rPr>
          <w:b/>
          <w:bCs/>
        </w:rPr>
        <w:t>Сковородино)</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4F483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D525DF">
              <w:rPr>
                <w:b/>
                <w:bCs/>
              </w:rPr>
              <w:t>0</w:t>
            </w:r>
            <w:r w:rsidR="004F4831">
              <w:rPr>
                <w:b/>
                <w:bCs/>
              </w:rPr>
              <w:t>6</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4F4831" w:rsidRPr="00A609F7">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4F4831">
              <w:rPr>
                <w:b/>
                <w:bCs/>
                <w:sz w:val="24"/>
                <w:szCs w:val="24"/>
              </w:rPr>
              <w:t xml:space="preserve"> </w:t>
            </w:r>
            <w:r w:rsidR="004F4831" w:rsidRPr="00A609F7">
              <w:rPr>
                <w:b/>
                <w:bCs/>
                <w:sz w:val="24"/>
                <w:szCs w:val="24"/>
              </w:rPr>
              <w:t>Сковородино)</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E10FE3" w:rsidRDefault="00E10FE3" w:rsidP="00E10FE3">
            <w:pPr>
              <w:pStyle w:val="a4"/>
              <w:ind w:left="1065"/>
              <w:contextualSpacing/>
              <w:jc w:val="both"/>
              <w:rPr>
                <w:b/>
              </w:rPr>
            </w:pPr>
          </w:p>
          <w:tbl>
            <w:tblPr>
              <w:tblW w:w="16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0"/>
              <w:gridCol w:w="5386"/>
              <w:gridCol w:w="755"/>
              <w:gridCol w:w="1257"/>
              <w:gridCol w:w="969"/>
              <w:gridCol w:w="1191"/>
              <w:gridCol w:w="1185"/>
              <w:gridCol w:w="1632"/>
              <w:gridCol w:w="1573"/>
            </w:tblGrid>
            <w:tr w:rsidR="004F4831" w:rsidRPr="00E946AC" w:rsidTr="004F4831">
              <w:trPr>
                <w:trHeight w:val="791"/>
                <w:jc w:val="center"/>
              </w:trPr>
              <w:tc>
                <w:tcPr>
                  <w:tcW w:w="726" w:type="pct"/>
                  <w:tcBorders>
                    <w:bottom w:val="single" w:sz="4" w:space="0" w:color="auto"/>
                  </w:tcBorders>
                </w:tcPr>
                <w:p w:rsidR="004F4831" w:rsidRPr="00E946AC" w:rsidRDefault="004F4831" w:rsidP="004F4831">
                  <w:pPr>
                    <w:jc w:val="center"/>
                    <w:rPr>
                      <w:b/>
                      <w:sz w:val="20"/>
                      <w:szCs w:val="20"/>
                    </w:rPr>
                  </w:pPr>
                  <w:r w:rsidRPr="00E946AC">
                    <w:rPr>
                      <w:b/>
                      <w:sz w:val="20"/>
                      <w:szCs w:val="20"/>
                    </w:rPr>
                    <w:t>Наименование товара</w:t>
                  </w:r>
                </w:p>
              </w:tc>
              <w:tc>
                <w:tcPr>
                  <w:tcW w:w="1650" w:type="pct"/>
                  <w:tcBorders>
                    <w:bottom w:val="single" w:sz="4" w:space="0" w:color="auto"/>
                  </w:tcBorders>
                </w:tcPr>
                <w:p w:rsidR="004F4831" w:rsidRPr="00E946AC" w:rsidRDefault="004F4831" w:rsidP="004F4831">
                  <w:pPr>
                    <w:jc w:val="center"/>
                    <w:rPr>
                      <w:b/>
                      <w:sz w:val="20"/>
                      <w:szCs w:val="20"/>
                    </w:rPr>
                  </w:pPr>
                  <w:r>
                    <w:rPr>
                      <w:b/>
                      <w:sz w:val="20"/>
                      <w:szCs w:val="20"/>
                    </w:rPr>
                    <w:t>Характеристики товара</w:t>
                  </w:r>
                </w:p>
              </w:tc>
              <w:tc>
                <w:tcPr>
                  <w:tcW w:w="231" w:type="pct"/>
                  <w:tcBorders>
                    <w:bottom w:val="single" w:sz="4" w:space="0" w:color="auto"/>
                  </w:tcBorders>
                </w:tcPr>
                <w:p w:rsidR="004F4831" w:rsidRPr="00E946AC" w:rsidRDefault="004F4831" w:rsidP="004F4831">
                  <w:pPr>
                    <w:jc w:val="center"/>
                    <w:rPr>
                      <w:b/>
                      <w:sz w:val="20"/>
                      <w:szCs w:val="20"/>
                    </w:rPr>
                  </w:pPr>
                  <w:r w:rsidRPr="00E946AC">
                    <w:rPr>
                      <w:b/>
                      <w:sz w:val="20"/>
                      <w:szCs w:val="20"/>
                    </w:rPr>
                    <w:t>Ед. изм.</w:t>
                  </w:r>
                </w:p>
              </w:tc>
              <w:tc>
                <w:tcPr>
                  <w:tcW w:w="385" w:type="pct"/>
                  <w:tcBorders>
                    <w:bottom w:val="single" w:sz="4" w:space="0" w:color="auto"/>
                  </w:tcBorders>
                </w:tcPr>
                <w:p w:rsidR="004F4831" w:rsidRPr="00E946AC" w:rsidRDefault="004F4831" w:rsidP="004F4831">
                  <w:pPr>
                    <w:ind w:left="-108"/>
                    <w:jc w:val="center"/>
                    <w:rPr>
                      <w:b/>
                      <w:sz w:val="20"/>
                      <w:szCs w:val="20"/>
                    </w:rPr>
                  </w:pPr>
                  <w:r w:rsidRPr="00E946AC">
                    <w:rPr>
                      <w:b/>
                      <w:sz w:val="20"/>
                      <w:szCs w:val="20"/>
                    </w:rPr>
                    <w:t>Количество</w:t>
                  </w:r>
                </w:p>
                <w:p w:rsidR="004F4831" w:rsidRPr="00E946AC" w:rsidRDefault="004F4831" w:rsidP="004F4831">
                  <w:pPr>
                    <w:ind w:left="-108"/>
                    <w:jc w:val="center"/>
                    <w:rPr>
                      <w:b/>
                      <w:sz w:val="20"/>
                      <w:szCs w:val="20"/>
                    </w:rPr>
                  </w:pPr>
                  <w:r w:rsidRPr="00E946AC">
                    <w:rPr>
                      <w:b/>
                      <w:sz w:val="20"/>
                      <w:szCs w:val="20"/>
                    </w:rPr>
                    <w:t>(объем)</w:t>
                  </w:r>
                </w:p>
              </w:tc>
              <w:tc>
                <w:tcPr>
                  <w:tcW w:w="297" w:type="pct"/>
                  <w:tcBorders>
                    <w:bottom w:val="single" w:sz="4" w:space="0" w:color="auto"/>
                  </w:tcBorders>
                </w:tcPr>
                <w:p w:rsidR="004F4831" w:rsidRPr="00E946AC" w:rsidRDefault="004F4831" w:rsidP="004F4831">
                  <w:pPr>
                    <w:jc w:val="center"/>
                    <w:rPr>
                      <w:b/>
                      <w:sz w:val="20"/>
                      <w:szCs w:val="20"/>
                    </w:rPr>
                  </w:pPr>
                  <w:r w:rsidRPr="00E946AC">
                    <w:rPr>
                      <w:b/>
                      <w:sz w:val="20"/>
                      <w:szCs w:val="20"/>
                    </w:rPr>
                    <w:t>Ставка НДС,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F4831" w:rsidRPr="005C5147" w:rsidRDefault="004F4831" w:rsidP="004F4831">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4F4831" w:rsidRPr="005C5147" w:rsidRDefault="004F4831" w:rsidP="004F4831">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500" w:type="pct"/>
                  <w:tcBorders>
                    <w:bottom w:val="single" w:sz="4" w:space="0" w:color="auto"/>
                  </w:tcBorders>
                </w:tcPr>
                <w:p w:rsidR="004F4831" w:rsidRPr="007614CD" w:rsidRDefault="004F4831" w:rsidP="004F4831">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4F4831" w:rsidRPr="00E946AC" w:rsidRDefault="004F4831" w:rsidP="004F4831">
                  <w:pPr>
                    <w:jc w:val="center"/>
                    <w:rPr>
                      <w:b/>
                      <w:sz w:val="20"/>
                      <w:szCs w:val="20"/>
                    </w:rPr>
                  </w:pPr>
                </w:p>
              </w:tc>
              <w:tc>
                <w:tcPr>
                  <w:tcW w:w="482" w:type="pct"/>
                  <w:tcBorders>
                    <w:bottom w:val="single" w:sz="4" w:space="0" w:color="auto"/>
                  </w:tcBorders>
                </w:tcPr>
                <w:p w:rsidR="004F4831" w:rsidRPr="007614CD" w:rsidRDefault="004F4831" w:rsidP="004F4831">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4F4831" w:rsidRPr="00E946AC" w:rsidRDefault="004F4831" w:rsidP="004F4831">
                  <w:pPr>
                    <w:jc w:val="center"/>
                    <w:rPr>
                      <w:b/>
                      <w:sz w:val="20"/>
                      <w:szCs w:val="20"/>
                    </w:rPr>
                  </w:pPr>
                </w:p>
              </w:tc>
            </w:tr>
            <w:tr w:rsidR="004F4831" w:rsidRPr="00126707" w:rsidTr="00AC2A91">
              <w:trPr>
                <w:trHeight w:val="297"/>
                <w:jc w:val="center"/>
              </w:trPr>
              <w:tc>
                <w:tcPr>
                  <w:tcW w:w="726" w:type="pct"/>
                  <w:tcBorders>
                    <w:top w:val="single" w:sz="4" w:space="0" w:color="auto"/>
                    <w:left w:val="single" w:sz="4" w:space="0" w:color="auto"/>
                    <w:bottom w:val="single" w:sz="4" w:space="0" w:color="auto"/>
                    <w:right w:val="single" w:sz="4" w:space="0" w:color="auto"/>
                  </w:tcBorders>
                </w:tcPr>
                <w:p w:rsidR="004F4831" w:rsidRPr="003D460F" w:rsidRDefault="004F4831" w:rsidP="004F4831">
                  <w:pPr>
                    <w:autoSpaceDE w:val="0"/>
                    <w:autoSpaceDN w:val="0"/>
                    <w:adjustRightInd w:val="0"/>
                    <w:rPr>
                      <w:rFonts w:eastAsia="Calibri"/>
                      <w:color w:val="000000"/>
                      <w:sz w:val="20"/>
                      <w:szCs w:val="20"/>
                    </w:rPr>
                  </w:pPr>
                  <w:r>
                    <w:rPr>
                      <w:rFonts w:eastAsia="Calibri"/>
                      <w:color w:val="000000"/>
                      <w:sz w:val="20"/>
                      <w:szCs w:val="20"/>
                    </w:rPr>
                    <w:t xml:space="preserve">Хлеб пшеничный </w:t>
                  </w:r>
                </w:p>
              </w:tc>
              <w:tc>
                <w:tcPr>
                  <w:tcW w:w="1650" w:type="pct"/>
                </w:tcPr>
                <w:p w:rsidR="004F4831" w:rsidRDefault="004F4831" w:rsidP="004F4831">
                  <w:pPr>
                    <w:rPr>
                      <w:sz w:val="20"/>
                      <w:szCs w:val="20"/>
                    </w:rPr>
                  </w:pPr>
                  <w:r>
                    <w:rPr>
                      <w:sz w:val="20"/>
                      <w:szCs w:val="20"/>
                    </w:rPr>
                    <w:t>Поверхность без крупных трещинок, допускается наличие узоров.</w:t>
                  </w:r>
                </w:p>
                <w:p w:rsidR="004F4831" w:rsidRPr="007C4138" w:rsidRDefault="004F4831" w:rsidP="004F4831">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Вес- 550гр. Хлеб первый сорт.</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4F4831" w:rsidRPr="003D460F" w:rsidRDefault="004F4831" w:rsidP="004F4831">
                  <w:pPr>
                    <w:autoSpaceDE w:val="0"/>
                    <w:autoSpaceDN w:val="0"/>
                    <w:adjustRightInd w:val="0"/>
                    <w:jc w:val="center"/>
                    <w:rPr>
                      <w:rFonts w:eastAsia="Calibri"/>
                      <w:color w:val="000000"/>
                      <w:sz w:val="20"/>
                      <w:szCs w:val="20"/>
                    </w:rPr>
                  </w:pPr>
                  <w:r w:rsidRPr="003D460F">
                    <w:rPr>
                      <w:rFonts w:eastAsia="Calibri"/>
                      <w:color w:val="000000"/>
                      <w:sz w:val="20"/>
                      <w:szCs w:val="20"/>
                    </w:rPr>
                    <w:t>шт.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4F4831" w:rsidRPr="00946A07" w:rsidRDefault="004F4831" w:rsidP="004F4831">
                  <w:pPr>
                    <w:autoSpaceDE w:val="0"/>
                    <w:autoSpaceDN w:val="0"/>
                    <w:adjustRightInd w:val="0"/>
                    <w:jc w:val="center"/>
                    <w:rPr>
                      <w:rFonts w:eastAsia="Calibri"/>
                      <w:color w:val="000000"/>
                      <w:sz w:val="20"/>
                      <w:szCs w:val="20"/>
                    </w:rPr>
                  </w:pPr>
                  <w:r w:rsidRPr="00946A07">
                    <w:rPr>
                      <w:rFonts w:eastAsia="Calibri"/>
                      <w:color w:val="000000"/>
                      <w:sz w:val="20"/>
                      <w:szCs w:val="20"/>
                    </w:rPr>
                    <w:t>18 000,00</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F4831" w:rsidRPr="003D460F" w:rsidRDefault="004F4831" w:rsidP="004F4831">
                  <w:pPr>
                    <w:autoSpaceDE w:val="0"/>
                    <w:autoSpaceDN w:val="0"/>
                    <w:adjustRightInd w:val="0"/>
                    <w:jc w:val="center"/>
                    <w:rPr>
                      <w:rFonts w:eastAsia="Calibri"/>
                      <w:color w:val="000000"/>
                      <w:sz w:val="20"/>
                      <w:szCs w:val="20"/>
                    </w:rPr>
                  </w:pPr>
                  <w:r w:rsidRPr="003D460F">
                    <w:rPr>
                      <w:rFonts w:eastAsia="Calibri"/>
                      <w:color w:val="000000"/>
                      <w:sz w:val="20"/>
                      <w:szCs w:val="20"/>
                    </w:rPr>
                    <w:t>10%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F4831" w:rsidRPr="00126707" w:rsidRDefault="004F4831" w:rsidP="004F4831">
                  <w:pPr>
                    <w:autoSpaceDE w:val="0"/>
                    <w:autoSpaceDN w:val="0"/>
                    <w:adjustRightInd w:val="0"/>
                    <w:jc w:val="center"/>
                    <w:rPr>
                      <w:rFonts w:eastAsia="Calibri"/>
                      <w:color w:val="000000"/>
                      <w:sz w:val="20"/>
                      <w:szCs w:val="20"/>
                    </w:rPr>
                  </w:pPr>
                  <w:r w:rsidRPr="00126707">
                    <w:rPr>
                      <w:rFonts w:eastAsia="Calibri"/>
                      <w:color w:val="000000"/>
                      <w:sz w:val="20"/>
                      <w:szCs w:val="20"/>
                    </w:rPr>
                    <w:t>34,10</w:t>
                  </w:r>
                </w:p>
              </w:tc>
              <w:tc>
                <w:tcPr>
                  <w:tcW w:w="363" w:type="pct"/>
                  <w:tcBorders>
                    <w:top w:val="single" w:sz="4" w:space="0" w:color="auto"/>
                    <w:left w:val="nil"/>
                    <w:bottom w:val="single" w:sz="4" w:space="0" w:color="auto"/>
                    <w:right w:val="single" w:sz="4" w:space="0" w:color="auto"/>
                  </w:tcBorders>
                  <w:shd w:val="clear" w:color="auto" w:fill="auto"/>
                </w:tcPr>
                <w:p w:rsidR="004F4831" w:rsidRPr="00126707" w:rsidRDefault="004F4831" w:rsidP="004F4831">
                  <w:pPr>
                    <w:autoSpaceDE w:val="0"/>
                    <w:autoSpaceDN w:val="0"/>
                    <w:adjustRightInd w:val="0"/>
                    <w:jc w:val="center"/>
                    <w:rPr>
                      <w:rFonts w:eastAsia="Calibri"/>
                      <w:color w:val="000000"/>
                      <w:sz w:val="20"/>
                      <w:szCs w:val="20"/>
                    </w:rPr>
                  </w:pPr>
                  <w:r w:rsidRPr="00126707">
                    <w:rPr>
                      <w:rFonts w:eastAsia="Calibri"/>
                      <w:color w:val="000000"/>
                      <w:sz w:val="20"/>
                      <w:szCs w:val="20"/>
                    </w:rPr>
                    <w:t>31,00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F4831" w:rsidRPr="00126707" w:rsidRDefault="004F4831" w:rsidP="004F4831">
                  <w:pPr>
                    <w:autoSpaceDE w:val="0"/>
                    <w:autoSpaceDN w:val="0"/>
                    <w:adjustRightInd w:val="0"/>
                    <w:jc w:val="center"/>
                    <w:rPr>
                      <w:rFonts w:eastAsia="Calibri"/>
                      <w:color w:val="000000"/>
                      <w:sz w:val="20"/>
                      <w:szCs w:val="20"/>
                    </w:rPr>
                  </w:pPr>
                  <w:r w:rsidRPr="00126707">
                    <w:rPr>
                      <w:rFonts w:eastAsia="Calibri"/>
                      <w:color w:val="000000"/>
                      <w:sz w:val="20"/>
                      <w:szCs w:val="20"/>
                    </w:rPr>
                    <w:t>558 000,00</w:t>
                  </w:r>
                </w:p>
              </w:tc>
              <w:tc>
                <w:tcPr>
                  <w:tcW w:w="482" w:type="pct"/>
                  <w:tcBorders>
                    <w:top w:val="single" w:sz="4" w:space="0" w:color="auto"/>
                    <w:left w:val="nil"/>
                    <w:bottom w:val="single" w:sz="4" w:space="0" w:color="auto"/>
                    <w:right w:val="single" w:sz="4" w:space="0" w:color="auto"/>
                  </w:tcBorders>
                  <w:shd w:val="clear" w:color="auto" w:fill="auto"/>
                </w:tcPr>
                <w:p w:rsidR="004F4831" w:rsidRPr="00126707" w:rsidRDefault="004F4831" w:rsidP="004F4831">
                  <w:pPr>
                    <w:autoSpaceDE w:val="0"/>
                    <w:autoSpaceDN w:val="0"/>
                    <w:adjustRightInd w:val="0"/>
                    <w:jc w:val="center"/>
                    <w:rPr>
                      <w:rFonts w:eastAsia="Calibri"/>
                      <w:color w:val="000000"/>
                      <w:sz w:val="20"/>
                      <w:szCs w:val="20"/>
                    </w:rPr>
                  </w:pPr>
                  <w:r w:rsidRPr="00126707">
                    <w:rPr>
                      <w:rFonts w:eastAsia="Calibri"/>
                      <w:color w:val="000000"/>
                      <w:sz w:val="20"/>
                      <w:szCs w:val="20"/>
                    </w:rPr>
                    <w:t>613 800,00</w:t>
                  </w:r>
                </w:p>
              </w:tc>
            </w:tr>
            <w:tr w:rsidR="004F4831" w:rsidRPr="00126707" w:rsidTr="00AC2A91">
              <w:trPr>
                <w:trHeight w:val="297"/>
                <w:jc w:val="center"/>
              </w:trPr>
              <w:tc>
                <w:tcPr>
                  <w:tcW w:w="726" w:type="pct"/>
                  <w:tcBorders>
                    <w:top w:val="single" w:sz="4" w:space="0" w:color="auto"/>
                    <w:left w:val="single" w:sz="4" w:space="0" w:color="auto"/>
                    <w:bottom w:val="single" w:sz="4" w:space="0" w:color="auto"/>
                    <w:right w:val="single" w:sz="4" w:space="0" w:color="auto"/>
                  </w:tcBorders>
                </w:tcPr>
                <w:p w:rsidR="004F4831" w:rsidRPr="00126707" w:rsidRDefault="004F4831" w:rsidP="004F4831">
                  <w:pPr>
                    <w:autoSpaceDE w:val="0"/>
                    <w:autoSpaceDN w:val="0"/>
                    <w:adjustRightInd w:val="0"/>
                    <w:rPr>
                      <w:rFonts w:eastAsia="Calibri"/>
                      <w:color w:val="000000"/>
                      <w:sz w:val="20"/>
                      <w:szCs w:val="20"/>
                    </w:rPr>
                  </w:pPr>
                  <w:r w:rsidRPr="00126707">
                    <w:rPr>
                      <w:rFonts w:eastAsia="Calibri"/>
                      <w:color w:val="000000"/>
                      <w:sz w:val="20"/>
                      <w:szCs w:val="20"/>
                    </w:rPr>
                    <w:t xml:space="preserve">Батон </w:t>
                  </w:r>
                  <w:r>
                    <w:rPr>
                      <w:rFonts w:eastAsia="Calibri"/>
                      <w:color w:val="000000"/>
                      <w:sz w:val="20"/>
                      <w:szCs w:val="20"/>
                    </w:rPr>
                    <w:t>«Н</w:t>
                  </w:r>
                  <w:r w:rsidRPr="00126707">
                    <w:rPr>
                      <w:rFonts w:eastAsia="Calibri"/>
                      <w:color w:val="000000"/>
                      <w:sz w:val="20"/>
                      <w:szCs w:val="20"/>
                    </w:rPr>
                    <w:t>арезной</w:t>
                  </w:r>
                  <w:r>
                    <w:rPr>
                      <w:rFonts w:eastAsia="Calibri"/>
                      <w:color w:val="000000"/>
                      <w:sz w:val="20"/>
                      <w:szCs w:val="20"/>
                    </w:rPr>
                    <w:t>»</w:t>
                  </w:r>
                  <w:r w:rsidRPr="00126707">
                    <w:rPr>
                      <w:rFonts w:eastAsia="Calibri"/>
                      <w:color w:val="000000"/>
                      <w:sz w:val="20"/>
                      <w:szCs w:val="20"/>
                    </w:rPr>
                    <w:t xml:space="preserve"> или эквивалент</w:t>
                  </w:r>
                </w:p>
              </w:tc>
              <w:tc>
                <w:tcPr>
                  <w:tcW w:w="1650" w:type="pct"/>
                </w:tcPr>
                <w:p w:rsidR="004F4831" w:rsidRDefault="004F4831" w:rsidP="004F4831">
                  <w:pPr>
                    <w:rPr>
                      <w:sz w:val="20"/>
                      <w:szCs w:val="20"/>
                    </w:rPr>
                  </w:pPr>
                  <w:r>
                    <w:rPr>
                      <w:sz w:val="20"/>
                      <w:szCs w:val="20"/>
                    </w:rPr>
                    <w:t>Поверхность без крупных трещинок, допускается наличие узоров.</w:t>
                  </w:r>
                </w:p>
                <w:p w:rsidR="004F4831" w:rsidRDefault="004F4831" w:rsidP="004F4831">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4F4831" w:rsidRDefault="004F4831" w:rsidP="004F4831">
                  <w:pPr>
                    <w:rPr>
                      <w:sz w:val="20"/>
                      <w:szCs w:val="20"/>
                    </w:rPr>
                  </w:pPr>
                  <w:r>
                    <w:rPr>
                      <w:sz w:val="20"/>
                      <w:szCs w:val="20"/>
                    </w:rPr>
                    <w:t xml:space="preserve">насыщенный хлебный аромат, посторонние запахи не допускаются. </w:t>
                  </w:r>
                </w:p>
                <w:p w:rsidR="004F4831" w:rsidRDefault="004F4831" w:rsidP="004F4831">
                  <w:pPr>
                    <w:rPr>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4F4831" w:rsidRPr="003D460F" w:rsidRDefault="004F4831" w:rsidP="004F4831">
                  <w:pPr>
                    <w:autoSpaceDE w:val="0"/>
                    <w:autoSpaceDN w:val="0"/>
                    <w:adjustRightInd w:val="0"/>
                    <w:jc w:val="center"/>
                    <w:rPr>
                      <w:rFonts w:eastAsia="Calibri"/>
                      <w:color w:val="000000"/>
                      <w:sz w:val="20"/>
                      <w:szCs w:val="20"/>
                    </w:rPr>
                  </w:pPr>
                  <w:r w:rsidRPr="003D460F">
                    <w:rPr>
                      <w:rFonts w:eastAsia="Calibri"/>
                      <w:color w:val="000000"/>
                      <w:sz w:val="20"/>
                      <w:szCs w:val="20"/>
                    </w:rPr>
                    <w:t>шт.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4F4831" w:rsidRPr="00946A07" w:rsidRDefault="004F4831" w:rsidP="004F4831">
                  <w:pPr>
                    <w:autoSpaceDE w:val="0"/>
                    <w:autoSpaceDN w:val="0"/>
                    <w:adjustRightInd w:val="0"/>
                    <w:jc w:val="center"/>
                    <w:rPr>
                      <w:rFonts w:eastAsia="Calibri"/>
                      <w:color w:val="000000"/>
                      <w:sz w:val="20"/>
                      <w:szCs w:val="20"/>
                    </w:rPr>
                  </w:pPr>
                  <w:r w:rsidRPr="00946A07">
                    <w:rPr>
                      <w:rFonts w:eastAsia="Calibri"/>
                      <w:color w:val="000000"/>
                      <w:sz w:val="20"/>
                      <w:szCs w:val="20"/>
                    </w:rPr>
                    <w:t>2 000,00</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F4831" w:rsidRPr="003D460F" w:rsidRDefault="004F4831" w:rsidP="004F4831">
                  <w:pPr>
                    <w:autoSpaceDE w:val="0"/>
                    <w:autoSpaceDN w:val="0"/>
                    <w:adjustRightInd w:val="0"/>
                    <w:jc w:val="center"/>
                    <w:rPr>
                      <w:rFonts w:eastAsia="Calibri"/>
                      <w:color w:val="000000"/>
                      <w:sz w:val="20"/>
                      <w:szCs w:val="20"/>
                    </w:rPr>
                  </w:pPr>
                  <w:r w:rsidRPr="003D460F">
                    <w:rPr>
                      <w:rFonts w:eastAsia="Calibri"/>
                      <w:color w:val="000000"/>
                      <w:sz w:val="20"/>
                      <w:szCs w:val="20"/>
                    </w:rPr>
                    <w:t>10%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F4831" w:rsidRPr="00126707" w:rsidRDefault="004F4831" w:rsidP="004F4831">
                  <w:pPr>
                    <w:autoSpaceDE w:val="0"/>
                    <w:autoSpaceDN w:val="0"/>
                    <w:adjustRightInd w:val="0"/>
                    <w:jc w:val="center"/>
                    <w:rPr>
                      <w:rFonts w:eastAsia="Calibri"/>
                      <w:color w:val="000000"/>
                      <w:sz w:val="20"/>
                      <w:szCs w:val="20"/>
                    </w:rPr>
                  </w:pPr>
                  <w:r w:rsidRPr="00126707">
                    <w:rPr>
                      <w:rFonts w:eastAsia="Calibri"/>
                      <w:color w:val="000000"/>
                      <w:sz w:val="20"/>
                      <w:szCs w:val="20"/>
                    </w:rPr>
                    <w:t>44,00</w:t>
                  </w:r>
                </w:p>
              </w:tc>
              <w:tc>
                <w:tcPr>
                  <w:tcW w:w="363" w:type="pct"/>
                  <w:tcBorders>
                    <w:top w:val="single" w:sz="4" w:space="0" w:color="auto"/>
                    <w:left w:val="nil"/>
                    <w:bottom w:val="single" w:sz="4" w:space="0" w:color="auto"/>
                    <w:right w:val="single" w:sz="4" w:space="0" w:color="auto"/>
                  </w:tcBorders>
                  <w:shd w:val="clear" w:color="auto" w:fill="auto"/>
                </w:tcPr>
                <w:p w:rsidR="004F4831" w:rsidRPr="00126707" w:rsidRDefault="004F4831" w:rsidP="004F4831">
                  <w:pPr>
                    <w:autoSpaceDE w:val="0"/>
                    <w:autoSpaceDN w:val="0"/>
                    <w:adjustRightInd w:val="0"/>
                    <w:jc w:val="center"/>
                    <w:rPr>
                      <w:rFonts w:eastAsia="Calibri"/>
                      <w:color w:val="000000"/>
                      <w:sz w:val="20"/>
                      <w:szCs w:val="20"/>
                    </w:rPr>
                  </w:pPr>
                  <w:r w:rsidRPr="00126707">
                    <w:rPr>
                      <w:rFonts w:eastAsia="Calibri"/>
                      <w:color w:val="000000"/>
                      <w:sz w:val="20"/>
                      <w:szCs w:val="20"/>
                    </w:rPr>
                    <w:t>40,00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F4831" w:rsidRPr="00126707" w:rsidRDefault="004F4831" w:rsidP="004F4831">
                  <w:pPr>
                    <w:autoSpaceDE w:val="0"/>
                    <w:autoSpaceDN w:val="0"/>
                    <w:adjustRightInd w:val="0"/>
                    <w:jc w:val="center"/>
                    <w:rPr>
                      <w:rFonts w:eastAsia="Calibri"/>
                      <w:color w:val="000000"/>
                      <w:sz w:val="20"/>
                      <w:szCs w:val="20"/>
                    </w:rPr>
                  </w:pPr>
                  <w:r w:rsidRPr="00126707">
                    <w:rPr>
                      <w:rFonts w:eastAsia="Calibri"/>
                      <w:color w:val="000000"/>
                      <w:sz w:val="20"/>
                      <w:szCs w:val="20"/>
                    </w:rPr>
                    <w:t>80 000,00</w:t>
                  </w:r>
                </w:p>
              </w:tc>
              <w:tc>
                <w:tcPr>
                  <w:tcW w:w="482" w:type="pct"/>
                  <w:tcBorders>
                    <w:top w:val="single" w:sz="4" w:space="0" w:color="auto"/>
                    <w:left w:val="nil"/>
                    <w:bottom w:val="single" w:sz="4" w:space="0" w:color="auto"/>
                    <w:right w:val="single" w:sz="4" w:space="0" w:color="auto"/>
                  </w:tcBorders>
                  <w:shd w:val="clear" w:color="auto" w:fill="auto"/>
                </w:tcPr>
                <w:p w:rsidR="004F4831" w:rsidRPr="00126707" w:rsidRDefault="004F4831" w:rsidP="004F4831">
                  <w:pPr>
                    <w:autoSpaceDE w:val="0"/>
                    <w:autoSpaceDN w:val="0"/>
                    <w:adjustRightInd w:val="0"/>
                    <w:jc w:val="center"/>
                    <w:rPr>
                      <w:rFonts w:eastAsia="Calibri"/>
                      <w:color w:val="000000"/>
                      <w:sz w:val="20"/>
                      <w:szCs w:val="20"/>
                    </w:rPr>
                  </w:pPr>
                  <w:r w:rsidRPr="00126707">
                    <w:rPr>
                      <w:rFonts w:eastAsia="Calibri"/>
                      <w:color w:val="000000"/>
                      <w:sz w:val="20"/>
                      <w:szCs w:val="20"/>
                    </w:rPr>
                    <w:t>88 000,00</w:t>
                  </w:r>
                </w:p>
              </w:tc>
            </w:tr>
            <w:tr w:rsidR="004F4831" w:rsidTr="004F4831">
              <w:trPr>
                <w:jc w:val="center"/>
              </w:trPr>
              <w:tc>
                <w:tcPr>
                  <w:tcW w:w="726" w:type="pct"/>
                  <w:vAlign w:val="center"/>
                </w:tcPr>
                <w:p w:rsidR="004F4831" w:rsidRPr="003D460F" w:rsidRDefault="004F4831" w:rsidP="004F4831">
                  <w:pPr>
                    <w:jc w:val="center"/>
                    <w:rPr>
                      <w:sz w:val="20"/>
                      <w:szCs w:val="20"/>
                    </w:rPr>
                  </w:pPr>
                  <w:r w:rsidRPr="003D460F">
                    <w:rPr>
                      <w:b/>
                      <w:sz w:val="20"/>
                      <w:szCs w:val="20"/>
                    </w:rPr>
                    <w:t>ИТОГО начальная (максимальная) цена</w:t>
                  </w:r>
                </w:p>
              </w:tc>
              <w:tc>
                <w:tcPr>
                  <w:tcW w:w="1650" w:type="pct"/>
                </w:tcPr>
                <w:p w:rsidR="004F4831" w:rsidRPr="003D460F" w:rsidRDefault="004F4831" w:rsidP="004F4831">
                  <w:pPr>
                    <w:rPr>
                      <w:b/>
                      <w:sz w:val="20"/>
                      <w:szCs w:val="20"/>
                    </w:rPr>
                  </w:pPr>
                </w:p>
              </w:tc>
              <w:tc>
                <w:tcPr>
                  <w:tcW w:w="231" w:type="pct"/>
                  <w:vAlign w:val="center"/>
                </w:tcPr>
                <w:p w:rsidR="004F4831" w:rsidRPr="003D460F" w:rsidRDefault="004F4831" w:rsidP="004F4831">
                  <w:pPr>
                    <w:rPr>
                      <w:b/>
                      <w:sz w:val="20"/>
                      <w:szCs w:val="20"/>
                    </w:rPr>
                  </w:pPr>
                </w:p>
                <w:p w:rsidR="004F4831" w:rsidRPr="003D460F" w:rsidRDefault="004F4831" w:rsidP="004F4831">
                  <w:pPr>
                    <w:jc w:val="center"/>
                    <w:rPr>
                      <w:b/>
                      <w:sz w:val="20"/>
                      <w:szCs w:val="20"/>
                    </w:rPr>
                  </w:pPr>
                </w:p>
              </w:tc>
              <w:tc>
                <w:tcPr>
                  <w:tcW w:w="385" w:type="pct"/>
                  <w:tcBorders>
                    <w:top w:val="nil"/>
                    <w:left w:val="single" w:sz="4" w:space="0" w:color="auto"/>
                    <w:bottom w:val="single" w:sz="4" w:space="0" w:color="auto"/>
                    <w:right w:val="single" w:sz="4" w:space="0" w:color="auto"/>
                  </w:tcBorders>
                  <w:shd w:val="clear" w:color="auto" w:fill="auto"/>
                </w:tcPr>
                <w:p w:rsidR="004F4831" w:rsidRPr="003D460F" w:rsidRDefault="004F4831" w:rsidP="004F4831">
                  <w:pPr>
                    <w:autoSpaceDE w:val="0"/>
                    <w:autoSpaceDN w:val="0"/>
                    <w:adjustRightInd w:val="0"/>
                    <w:jc w:val="center"/>
                    <w:rPr>
                      <w:rFonts w:eastAsia="Calibri"/>
                      <w:b/>
                      <w:bCs/>
                      <w:color w:val="000000"/>
                      <w:sz w:val="20"/>
                      <w:szCs w:val="20"/>
                    </w:rPr>
                  </w:pPr>
                  <w:r>
                    <w:rPr>
                      <w:rFonts w:eastAsia="Calibri"/>
                      <w:b/>
                      <w:bCs/>
                      <w:color w:val="000000"/>
                      <w:sz w:val="20"/>
                      <w:szCs w:val="20"/>
                    </w:rPr>
                    <w:t xml:space="preserve">20 000       </w:t>
                  </w:r>
                </w:p>
              </w:tc>
              <w:tc>
                <w:tcPr>
                  <w:tcW w:w="297" w:type="pct"/>
                  <w:tcBorders>
                    <w:left w:val="nil"/>
                  </w:tcBorders>
                  <w:vAlign w:val="center"/>
                </w:tcPr>
                <w:p w:rsidR="004F4831" w:rsidRPr="003D460F" w:rsidRDefault="004F4831" w:rsidP="004F4831">
                  <w:pPr>
                    <w:jc w:val="center"/>
                    <w:rPr>
                      <w:b/>
                      <w:bCs/>
                      <w:sz w:val="20"/>
                      <w:szCs w:val="20"/>
                    </w:rPr>
                  </w:pPr>
                </w:p>
              </w:tc>
              <w:tc>
                <w:tcPr>
                  <w:tcW w:w="365" w:type="pct"/>
                  <w:vAlign w:val="center"/>
                </w:tcPr>
                <w:p w:rsidR="004F4831" w:rsidRPr="003D460F" w:rsidRDefault="004F4831" w:rsidP="004F4831">
                  <w:pPr>
                    <w:jc w:val="center"/>
                    <w:rPr>
                      <w:b/>
                      <w:bCs/>
                      <w:sz w:val="20"/>
                      <w:szCs w:val="20"/>
                    </w:rPr>
                  </w:pPr>
                </w:p>
              </w:tc>
              <w:tc>
                <w:tcPr>
                  <w:tcW w:w="363" w:type="pct"/>
                  <w:tcBorders>
                    <w:right w:val="single" w:sz="4" w:space="0" w:color="auto"/>
                  </w:tcBorders>
                </w:tcPr>
                <w:p w:rsidR="004F4831" w:rsidRPr="003D460F" w:rsidRDefault="004F4831" w:rsidP="004F4831">
                  <w:pPr>
                    <w:jc w:val="center"/>
                    <w:rPr>
                      <w:b/>
                      <w:bCs/>
                      <w:iCs/>
                      <w:color w:val="000000"/>
                      <w:sz w:val="20"/>
                      <w:szCs w:val="20"/>
                    </w:rPr>
                  </w:pPr>
                </w:p>
              </w:tc>
              <w:tc>
                <w:tcPr>
                  <w:tcW w:w="500" w:type="pct"/>
                  <w:tcBorders>
                    <w:top w:val="nil"/>
                    <w:left w:val="single" w:sz="4" w:space="0" w:color="auto"/>
                    <w:bottom w:val="single" w:sz="4" w:space="0" w:color="auto"/>
                    <w:right w:val="single" w:sz="4" w:space="0" w:color="auto"/>
                  </w:tcBorders>
                  <w:shd w:val="clear" w:color="auto" w:fill="auto"/>
                </w:tcPr>
                <w:p w:rsidR="004F4831" w:rsidRDefault="004F4831" w:rsidP="004F4831">
                  <w:pPr>
                    <w:autoSpaceDE w:val="0"/>
                    <w:autoSpaceDN w:val="0"/>
                    <w:adjustRightInd w:val="0"/>
                    <w:jc w:val="center"/>
                    <w:rPr>
                      <w:rFonts w:eastAsia="Calibri"/>
                      <w:b/>
                      <w:bCs/>
                      <w:color w:val="000000"/>
                      <w:sz w:val="22"/>
                      <w:szCs w:val="22"/>
                    </w:rPr>
                  </w:pPr>
                  <w:r>
                    <w:rPr>
                      <w:rFonts w:eastAsia="Calibri"/>
                      <w:b/>
                      <w:bCs/>
                      <w:color w:val="000000"/>
                      <w:sz w:val="22"/>
                      <w:szCs w:val="22"/>
                    </w:rPr>
                    <w:t>638 000,00</w:t>
                  </w:r>
                </w:p>
              </w:tc>
              <w:tc>
                <w:tcPr>
                  <w:tcW w:w="482" w:type="pct"/>
                  <w:tcBorders>
                    <w:top w:val="nil"/>
                    <w:left w:val="nil"/>
                    <w:bottom w:val="single" w:sz="4" w:space="0" w:color="auto"/>
                    <w:right w:val="single" w:sz="4" w:space="0" w:color="auto"/>
                  </w:tcBorders>
                  <w:shd w:val="clear" w:color="auto" w:fill="auto"/>
                </w:tcPr>
                <w:p w:rsidR="004F4831" w:rsidRDefault="004F4831" w:rsidP="004F4831">
                  <w:pPr>
                    <w:autoSpaceDE w:val="0"/>
                    <w:autoSpaceDN w:val="0"/>
                    <w:adjustRightInd w:val="0"/>
                    <w:jc w:val="center"/>
                    <w:rPr>
                      <w:rFonts w:eastAsia="Calibri"/>
                      <w:b/>
                      <w:bCs/>
                      <w:color w:val="000000"/>
                      <w:sz w:val="22"/>
                      <w:szCs w:val="22"/>
                    </w:rPr>
                  </w:pPr>
                  <w:r>
                    <w:rPr>
                      <w:rFonts w:eastAsia="Calibri"/>
                      <w:b/>
                      <w:bCs/>
                      <w:color w:val="000000"/>
                      <w:sz w:val="22"/>
                      <w:szCs w:val="22"/>
                    </w:rPr>
                    <w:t>701 800,00</w:t>
                  </w:r>
                </w:p>
              </w:tc>
            </w:tr>
          </w:tbl>
          <w:p w:rsidR="00FF0D19" w:rsidRPr="008F0789" w:rsidRDefault="00FF0D19"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4F4831" w:rsidRPr="00A609F7" w:rsidRDefault="004F4831" w:rsidP="004F4831">
            <w:pPr>
              <w:spacing w:after="150"/>
              <w:contextualSpacing/>
            </w:pPr>
            <w:r w:rsidRPr="00A609F7">
              <w:t xml:space="preserve">- </w:t>
            </w:r>
            <w:r w:rsidRPr="00A609F7">
              <w:rPr>
                <w:b/>
              </w:rPr>
              <w:t>638 000,00 (</w:t>
            </w:r>
            <w:r w:rsidRPr="00A609F7">
              <w:t xml:space="preserve">шестьсот тридцать восемь тысяч) рублей 00 копеек без учета НДС, </w:t>
            </w:r>
          </w:p>
          <w:p w:rsidR="00E227C3" w:rsidRPr="00F32080" w:rsidRDefault="004F4831" w:rsidP="004F4831">
            <w:pPr>
              <w:rPr>
                <w:b/>
                <w:bCs/>
              </w:rPr>
            </w:pPr>
            <w:r w:rsidRPr="00A609F7">
              <w:t xml:space="preserve">-  </w:t>
            </w:r>
            <w:r w:rsidRPr="00A609F7">
              <w:rPr>
                <w:b/>
              </w:rPr>
              <w:t>701 800,00</w:t>
            </w:r>
            <w:r w:rsidRPr="00A609F7">
              <w:t xml:space="preserve"> (семьсот одна тысяча восемьсот) рублей 00 копеек с </w:t>
            </w:r>
            <w:r w:rsidRPr="00A609F7">
              <w:lastRenderedPageBreak/>
              <w:t>учетом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6C3321" w:rsidP="00FF0D19">
            <w:pPr>
              <w:contextualSpacing/>
              <w:jc w:val="both"/>
              <w:rPr>
                <w:bCs/>
              </w:rPr>
            </w:pPr>
            <w:r>
              <w:rPr>
                <w:bCs/>
              </w:rPr>
              <w:t>1</w:t>
            </w:r>
            <w:r w:rsidR="00A01A54" w:rsidRPr="008F0789">
              <w:rPr>
                <w:bCs/>
              </w:rPr>
              <w:t>0 (</w:t>
            </w:r>
            <w:r>
              <w:rPr>
                <w:bCs/>
              </w:rPr>
              <w:t>десят</w:t>
            </w:r>
            <w:r w:rsidR="008372D9">
              <w:rPr>
                <w:bCs/>
              </w:rPr>
              <w:t>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1F77CE" w:rsidP="001F77CE">
            <w:pPr>
              <w:rPr>
                <w:b/>
                <w:i/>
              </w:rPr>
            </w:pPr>
            <w:r>
              <w:rPr>
                <w:b/>
                <w:bCs/>
              </w:rPr>
              <w:t>Х</w:t>
            </w:r>
            <w:r w:rsidRPr="00A0241E">
              <w:rPr>
                <w:b/>
                <w:bCs/>
              </w:rPr>
              <w:t>леб и хлебобулочны</w:t>
            </w:r>
            <w:r>
              <w:rPr>
                <w:b/>
                <w:bCs/>
              </w:rPr>
              <w:t>е</w:t>
            </w:r>
            <w:r w:rsidRPr="00A0241E">
              <w:rPr>
                <w:b/>
                <w:bCs/>
              </w:rPr>
              <w:t xml:space="preserve"> издели</w:t>
            </w:r>
            <w:r>
              <w:rPr>
                <w:b/>
                <w:bCs/>
              </w:rPr>
              <w:t>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 xml:space="preserve">Требования к упаковке, </w:t>
            </w:r>
            <w:r w:rsidRPr="008F0789">
              <w:rPr>
                <w:bCs/>
              </w:rPr>
              <w:lastRenderedPageBreak/>
              <w:t>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lastRenderedPageBreak/>
              <w:t xml:space="preserve">Упаковка и маркировка товара, а также хранение должны быть осуществлены Поставщиком </w:t>
            </w:r>
            <w:r w:rsidRPr="008F0789">
              <w:rPr>
                <w:bCs/>
              </w:rPr>
              <w:lastRenderedPageBreak/>
              <w:t>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E1165" w:rsidRPr="008372D9" w:rsidRDefault="004F4831" w:rsidP="00FF7270">
            <w:r>
              <w:t>Столовая ДОЛБ ст. Сковородино – Амурская обл., г. Сковородино, ул. Октябрьская, 10</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w:t>
            </w:r>
            <w:r w:rsidRPr="008F0789">
              <w:lastRenderedPageBreak/>
              <w:t>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lastRenderedPageBreak/>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E10FE3" w:rsidRPr="00E10FE3">
        <w:rPr>
          <w:b/>
          <w:bCs/>
        </w:rPr>
        <w:t>хлеб и хлебобулочны</w:t>
      </w:r>
      <w:r w:rsidR="00E10FE3">
        <w:rPr>
          <w:b/>
          <w:bCs/>
        </w:rPr>
        <w:t>е</w:t>
      </w:r>
      <w:r w:rsidR="00E10FE3" w:rsidRPr="00E10FE3">
        <w:rPr>
          <w:b/>
          <w:bCs/>
        </w:rPr>
        <w:t xml:space="preserve"> издели</w:t>
      </w:r>
      <w:r w:rsidR="00E10FE3">
        <w:rPr>
          <w:b/>
          <w:bCs/>
        </w:rPr>
        <w:t>я</w:t>
      </w:r>
      <w:r w:rsidR="00E10FE3" w:rsidRPr="00E10FE3">
        <w:rPr>
          <w:b/>
          <w:bCs/>
        </w:rPr>
        <w:t xml:space="preserve"> для предприятий общественного питания Свободненского ТПО, оказывающих услуги питания работникам ОАО "РЖД" (столовая ст.</w:t>
      </w:r>
      <w:r w:rsidR="00E10FE3">
        <w:rPr>
          <w:b/>
          <w:bCs/>
        </w:rPr>
        <w:t xml:space="preserve"> </w:t>
      </w:r>
      <w:r w:rsidR="004F4831" w:rsidRPr="004F4831">
        <w:rPr>
          <w:b/>
          <w:bCs/>
        </w:rPr>
        <w:t>Сковородино</w:t>
      </w:r>
      <w:r w:rsidR="00E10FE3" w:rsidRPr="00E10FE3">
        <w:rPr>
          <w:b/>
          <w:bCs/>
        </w:rPr>
        <w:t>)</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4F4831">
        <w:t>Столовая ДОЛБ ст. Сковородино – Амурская обл., г. Сковородино, ул. Октябрьская, 10</w:t>
      </w:r>
      <w:r w:rsidR="001F77CE">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D525DF">
        <w:t>0</w:t>
      </w:r>
      <w:r w:rsidR="004F4831">
        <w:t>6</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1B6416" w:rsidRDefault="001B6416"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lastRenderedPageBreak/>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lastRenderedPageBreak/>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Default="003C7F2F"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667897" w:rsidRPr="008F0789" w:rsidRDefault="00667897"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525DF">
        <w:rPr>
          <w:rFonts w:ascii="Times New Roman" w:hAnsi="Times New Roman" w:cs="Times New Roman"/>
          <w:i w:val="0"/>
          <w:sz w:val="24"/>
          <w:szCs w:val="24"/>
        </w:rPr>
        <w:t>0</w:t>
      </w:r>
      <w:r w:rsidR="004F4831">
        <w:rPr>
          <w:rFonts w:ascii="Times New Roman" w:hAnsi="Times New Roman" w:cs="Times New Roman"/>
          <w:i w:val="0"/>
          <w:sz w:val="24"/>
          <w:szCs w:val="24"/>
        </w:rPr>
        <w:t>6</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4F4831" w:rsidRPr="00416475">
        <w:rPr>
          <w:b/>
          <w:bCs/>
          <w:sz w:val="24"/>
          <w:szCs w:val="24"/>
        </w:rPr>
        <w:t>ЗКТ-</w:t>
      </w:r>
      <w:r w:rsidR="004F4831">
        <w:rPr>
          <w:b/>
          <w:bCs/>
          <w:sz w:val="24"/>
          <w:szCs w:val="24"/>
        </w:rPr>
        <w:t>06</w:t>
      </w:r>
      <w:r w:rsidR="004F4831" w:rsidRPr="00416475">
        <w:rPr>
          <w:b/>
          <w:bCs/>
          <w:sz w:val="24"/>
          <w:szCs w:val="24"/>
        </w:rPr>
        <w:t>/</w:t>
      </w:r>
      <w:r w:rsidR="004F4831">
        <w:rPr>
          <w:b/>
          <w:bCs/>
          <w:sz w:val="24"/>
          <w:szCs w:val="24"/>
        </w:rPr>
        <w:t>21</w:t>
      </w:r>
      <w:r w:rsidR="004F4831" w:rsidRPr="00416475">
        <w:rPr>
          <w:b/>
          <w:bCs/>
          <w:sz w:val="24"/>
          <w:szCs w:val="24"/>
        </w:rPr>
        <w:t xml:space="preserve"> на право заключения договора поставки </w:t>
      </w:r>
      <w:r w:rsidR="004F4831" w:rsidRPr="00A609F7">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4F4831">
        <w:rPr>
          <w:b/>
          <w:bCs/>
          <w:sz w:val="24"/>
          <w:szCs w:val="24"/>
        </w:rPr>
        <w:t xml:space="preserve"> </w:t>
      </w:r>
      <w:r w:rsidR="004F4831" w:rsidRPr="00A609F7">
        <w:rPr>
          <w:b/>
          <w:bCs/>
          <w:sz w:val="24"/>
          <w:szCs w:val="24"/>
        </w:rPr>
        <w:t>Сковородино)</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6030F7">
              <w:rPr>
                <w:sz w:val="24"/>
              </w:rPr>
            </w:r>
            <w:r w:rsidR="006030F7">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6030F7">
              <w:rPr>
                <w:sz w:val="24"/>
              </w:rPr>
            </w:r>
            <w:r w:rsidR="006030F7">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6030F7">
              <w:rPr>
                <w:sz w:val="24"/>
              </w:rPr>
            </w:r>
            <w:r w:rsidR="006030F7">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6030F7">
              <w:rPr>
                <w:sz w:val="24"/>
              </w:rPr>
            </w:r>
            <w:r w:rsidR="006030F7">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6030F7">
              <w:rPr>
                <w:sz w:val="24"/>
              </w:rPr>
            </w:r>
            <w:r w:rsidR="006030F7">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6030F7">
              <w:rPr>
                <w:sz w:val="24"/>
              </w:rPr>
            </w:r>
            <w:r w:rsidR="006030F7">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4F4831" w:rsidRPr="00416475">
        <w:rPr>
          <w:b/>
          <w:bCs/>
          <w:sz w:val="24"/>
          <w:szCs w:val="24"/>
        </w:rPr>
        <w:t>ЗКТ-</w:t>
      </w:r>
      <w:r w:rsidR="004F4831">
        <w:rPr>
          <w:b/>
          <w:bCs/>
          <w:sz w:val="24"/>
          <w:szCs w:val="24"/>
        </w:rPr>
        <w:t>06</w:t>
      </w:r>
      <w:r w:rsidR="004F4831" w:rsidRPr="00416475">
        <w:rPr>
          <w:b/>
          <w:bCs/>
          <w:sz w:val="24"/>
          <w:szCs w:val="24"/>
        </w:rPr>
        <w:t>/</w:t>
      </w:r>
      <w:r w:rsidR="004F4831">
        <w:rPr>
          <w:b/>
          <w:bCs/>
          <w:sz w:val="24"/>
          <w:szCs w:val="24"/>
        </w:rPr>
        <w:t>21</w:t>
      </w:r>
      <w:r w:rsidR="004F4831" w:rsidRPr="00416475">
        <w:rPr>
          <w:b/>
          <w:bCs/>
          <w:sz w:val="24"/>
          <w:szCs w:val="24"/>
        </w:rPr>
        <w:t xml:space="preserve"> на право заключения договора поставки </w:t>
      </w:r>
      <w:r w:rsidR="004F4831" w:rsidRPr="00A609F7">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4F4831">
        <w:rPr>
          <w:b/>
          <w:bCs/>
          <w:sz w:val="24"/>
          <w:szCs w:val="24"/>
        </w:rPr>
        <w:t xml:space="preserve"> </w:t>
      </w:r>
      <w:r w:rsidR="004F4831" w:rsidRPr="00A609F7">
        <w:rPr>
          <w:b/>
          <w:bCs/>
          <w:sz w:val="24"/>
          <w:szCs w:val="24"/>
        </w:rPr>
        <w:t>Сковородино)</w:t>
      </w:r>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4F4831">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7</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7</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8</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w:t>
            </w:r>
            <w:r w:rsidR="004F4831">
              <w:rPr>
                <w:b/>
              </w:rPr>
              <w:t>2</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6</w:t>
            </w:r>
            <w:bookmarkStart w:id="9" w:name="_GoBack"/>
            <w:bookmarkEnd w:id="9"/>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lastRenderedPageBreak/>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lastRenderedPageBreak/>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lastRenderedPageBreak/>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lastRenderedPageBreak/>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F7" w:rsidRDefault="006030F7" w:rsidP="00D63907">
      <w:r>
        <w:separator/>
      </w:r>
    </w:p>
  </w:endnote>
  <w:endnote w:type="continuationSeparator" w:id="0">
    <w:p w:rsidR="006030F7" w:rsidRDefault="006030F7"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4F4831">
      <w:rPr>
        <w:noProof/>
        <w:sz w:val="18"/>
        <w:szCs w:val="18"/>
      </w:rPr>
      <w:t>31</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4F4831">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F7" w:rsidRDefault="006030F7" w:rsidP="00D63907">
      <w:r>
        <w:separator/>
      </w:r>
    </w:p>
  </w:footnote>
  <w:footnote w:type="continuationSeparator" w:id="0">
    <w:p w:rsidR="006030F7" w:rsidRDefault="006030F7"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15C8"/>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F77CE"/>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831"/>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30F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0FE3"/>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80E6"/>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0CF93BD-302C-479B-958D-18A2C26C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65</Pages>
  <Words>25313</Words>
  <Characters>144289</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119</cp:revision>
  <cp:lastPrinted>2019-11-06T09:14:00Z</cp:lastPrinted>
  <dcterms:created xsi:type="dcterms:W3CDTF">2019-09-26T05:55:00Z</dcterms:created>
  <dcterms:modified xsi:type="dcterms:W3CDTF">2021-01-30T01:53:00Z</dcterms:modified>
</cp:coreProperties>
</file>