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71149" w:rsidRPr="00416475">
        <w:rPr>
          <w:b/>
          <w:bCs/>
        </w:rPr>
        <w:t>ЗКТ-</w:t>
      </w:r>
      <w:r w:rsidR="00971149">
        <w:rPr>
          <w:b/>
          <w:bCs/>
        </w:rPr>
        <w:t>25</w:t>
      </w:r>
      <w:r w:rsidR="00971149" w:rsidRPr="00416475">
        <w:rPr>
          <w:b/>
          <w:bCs/>
        </w:rPr>
        <w:t>/</w:t>
      </w:r>
      <w:r w:rsidR="00971149">
        <w:rPr>
          <w:b/>
          <w:bCs/>
        </w:rPr>
        <w:t>20</w:t>
      </w:r>
      <w:r w:rsidR="00971149" w:rsidRPr="00416475">
        <w:rPr>
          <w:b/>
          <w:bCs/>
        </w:rPr>
        <w:t xml:space="preserve"> на право заключения договора поставки </w:t>
      </w:r>
      <w:r w:rsidR="00971149" w:rsidRPr="00C76C3F">
        <w:rPr>
          <w:b/>
          <w:bCs/>
        </w:rPr>
        <w:t>молочной продукции, масложировой продукции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71149">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215326">
              <w:rPr>
                <w:b/>
                <w:bCs/>
              </w:rPr>
              <w:t>2</w:t>
            </w:r>
            <w:r w:rsidR="00971149">
              <w:rPr>
                <w:b/>
                <w:bCs/>
              </w:rPr>
              <w:t>5</w:t>
            </w:r>
            <w:r w:rsidR="00215326">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971149" w:rsidRPr="00C76C3F">
              <w:rPr>
                <w:b/>
                <w:bCs/>
                <w:sz w:val="24"/>
                <w:szCs w:val="24"/>
              </w:rPr>
              <w:t>молочной продукции, масложировой продукции для предприятий общественного питания Свободненского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891E7B" w:rsidRDefault="00891E7B" w:rsidP="00891E7B">
            <w:pPr>
              <w:pStyle w:val="a4"/>
              <w:ind w:left="1065"/>
              <w:contextualSpacing/>
              <w:jc w:val="both"/>
              <w:rPr>
                <w:b/>
              </w:rPr>
            </w:pPr>
          </w:p>
          <w:tbl>
            <w:tblPr>
              <w:tblW w:w="1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5096"/>
              <w:gridCol w:w="922"/>
              <w:gridCol w:w="1198"/>
              <w:gridCol w:w="1081"/>
              <w:gridCol w:w="1246"/>
              <w:gridCol w:w="1353"/>
              <w:gridCol w:w="1577"/>
              <w:gridCol w:w="1646"/>
            </w:tblGrid>
            <w:tr w:rsidR="00971149" w:rsidRPr="00E946AC" w:rsidTr="00971149">
              <w:trPr>
                <w:trHeight w:val="791"/>
                <w:jc w:val="center"/>
              </w:trPr>
              <w:tc>
                <w:tcPr>
                  <w:tcW w:w="650" w:type="pct"/>
                  <w:tcBorders>
                    <w:bottom w:val="single" w:sz="4" w:space="0" w:color="auto"/>
                  </w:tcBorders>
                </w:tcPr>
                <w:p w:rsidR="00971149" w:rsidRPr="00E946AC" w:rsidRDefault="00971149" w:rsidP="00971149">
                  <w:pPr>
                    <w:jc w:val="center"/>
                    <w:rPr>
                      <w:b/>
                      <w:sz w:val="20"/>
                      <w:szCs w:val="20"/>
                    </w:rPr>
                  </w:pPr>
                  <w:r w:rsidRPr="00E946AC">
                    <w:rPr>
                      <w:b/>
                      <w:sz w:val="20"/>
                      <w:szCs w:val="20"/>
                    </w:rPr>
                    <w:t>Наименование товара</w:t>
                  </w:r>
                </w:p>
              </w:tc>
              <w:tc>
                <w:tcPr>
                  <w:tcW w:w="1570" w:type="pct"/>
                  <w:tcBorders>
                    <w:bottom w:val="single" w:sz="4" w:space="0" w:color="auto"/>
                  </w:tcBorders>
                </w:tcPr>
                <w:p w:rsidR="00971149" w:rsidRPr="00E946AC" w:rsidRDefault="00971149" w:rsidP="00971149">
                  <w:pPr>
                    <w:jc w:val="center"/>
                    <w:rPr>
                      <w:b/>
                      <w:sz w:val="20"/>
                      <w:szCs w:val="20"/>
                    </w:rPr>
                  </w:pPr>
                  <w:r>
                    <w:rPr>
                      <w:b/>
                      <w:sz w:val="20"/>
                      <w:szCs w:val="20"/>
                    </w:rPr>
                    <w:t>Характеристики товара</w:t>
                  </w:r>
                </w:p>
              </w:tc>
              <w:tc>
                <w:tcPr>
                  <w:tcW w:w="284" w:type="pct"/>
                  <w:tcBorders>
                    <w:bottom w:val="single" w:sz="4" w:space="0" w:color="auto"/>
                  </w:tcBorders>
                  <w:vAlign w:val="center"/>
                </w:tcPr>
                <w:p w:rsidR="00971149" w:rsidRPr="00E946AC" w:rsidRDefault="00971149" w:rsidP="00971149">
                  <w:pPr>
                    <w:jc w:val="center"/>
                    <w:rPr>
                      <w:b/>
                      <w:sz w:val="20"/>
                      <w:szCs w:val="20"/>
                    </w:rPr>
                  </w:pPr>
                  <w:r w:rsidRPr="00E946AC">
                    <w:rPr>
                      <w:b/>
                      <w:sz w:val="20"/>
                      <w:szCs w:val="20"/>
                    </w:rPr>
                    <w:t>Ед. изм.</w:t>
                  </w:r>
                </w:p>
              </w:tc>
              <w:tc>
                <w:tcPr>
                  <w:tcW w:w="369" w:type="pct"/>
                  <w:tcBorders>
                    <w:bottom w:val="single" w:sz="4" w:space="0" w:color="auto"/>
                  </w:tcBorders>
                  <w:vAlign w:val="center"/>
                </w:tcPr>
                <w:p w:rsidR="00971149" w:rsidRPr="00E946AC" w:rsidRDefault="00971149" w:rsidP="00971149">
                  <w:pPr>
                    <w:ind w:left="-108"/>
                    <w:jc w:val="center"/>
                    <w:rPr>
                      <w:b/>
                      <w:sz w:val="20"/>
                      <w:szCs w:val="20"/>
                    </w:rPr>
                  </w:pPr>
                  <w:r w:rsidRPr="00E946AC">
                    <w:rPr>
                      <w:b/>
                      <w:sz w:val="20"/>
                      <w:szCs w:val="20"/>
                    </w:rPr>
                    <w:t>Количество</w:t>
                  </w:r>
                </w:p>
                <w:p w:rsidR="00971149" w:rsidRPr="00E946AC" w:rsidRDefault="00971149" w:rsidP="00971149">
                  <w:pPr>
                    <w:ind w:left="-108"/>
                    <w:jc w:val="center"/>
                    <w:rPr>
                      <w:b/>
                      <w:sz w:val="20"/>
                      <w:szCs w:val="20"/>
                    </w:rPr>
                  </w:pPr>
                  <w:r w:rsidRPr="00E946AC">
                    <w:rPr>
                      <w:b/>
                      <w:sz w:val="20"/>
                      <w:szCs w:val="20"/>
                    </w:rPr>
                    <w:t>(объем)</w:t>
                  </w:r>
                </w:p>
              </w:tc>
              <w:tc>
                <w:tcPr>
                  <w:tcW w:w="333" w:type="pct"/>
                  <w:tcBorders>
                    <w:bottom w:val="single" w:sz="4" w:space="0" w:color="auto"/>
                  </w:tcBorders>
                  <w:vAlign w:val="center"/>
                </w:tcPr>
                <w:p w:rsidR="00971149" w:rsidRPr="00E946AC" w:rsidRDefault="00971149" w:rsidP="00971149">
                  <w:pPr>
                    <w:jc w:val="center"/>
                    <w:rPr>
                      <w:b/>
                      <w:sz w:val="20"/>
                      <w:szCs w:val="20"/>
                    </w:rPr>
                  </w:pPr>
                  <w:r w:rsidRPr="00E946AC">
                    <w:rPr>
                      <w:b/>
                      <w:sz w:val="20"/>
                      <w:szCs w:val="20"/>
                    </w:rPr>
                    <w:t>Ставка НДС,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Pr="005C5147" w:rsidRDefault="00971149" w:rsidP="00971149">
                  <w:pPr>
                    <w:jc w:val="center"/>
                    <w:rPr>
                      <w:b/>
                      <w:bCs/>
                      <w:color w:val="000000"/>
                      <w:sz w:val="20"/>
                      <w:szCs w:val="20"/>
                    </w:rPr>
                  </w:pPr>
                  <w:r w:rsidRPr="005C5147">
                    <w:rPr>
                      <w:b/>
                      <w:bCs/>
                      <w:color w:val="000000"/>
                      <w:sz w:val="20"/>
                      <w:szCs w:val="20"/>
                    </w:rPr>
                    <w:t>Цена за ед. изм.(руб</w:t>
                  </w:r>
                  <w:r>
                    <w:rPr>
                      <w:b/>
                      <w:bCs/>
                      <w:color w:val="000000"/>
                      <w:sz w:val="20"/>
                      <w:szCs w:val="20"/>
                    </w:rPr>
                    <w:t>.) без</w:t>
                  </w:r>
                  <w:r w:rsidRPr="005C5147">
                    <w:rPr>
                      <w:b/>
                      <w:bCs/>
                      <w:color w:val="000000"/>
                      <w:sz w:val="20"/>
                      <w:szCs w:val="20"/>
                    </w:rPr>
                    <w:t xml:space="preserve">  НДС</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Pr="005C5147" w:rsidRDefault="00971149" w:rsidP="00971149">
                  <w:pPr>
                    <w:jc w:val="center"/>
                    <w:rPr>
                      <w:b/>
                      <w:bCs/>
                      <w:color w:val="000000"/>
                      <w:sz w:val="20"/>
                      <w:szCs w:val="20"/>
                    </w:rPr>
                  </w:pPr>
                  <w:r w:rsidRPr="005C5147">
                    <w:rPr>
                      <w:b/>
                      <w:bCs/>
                      <w:color w:val="000000"/>
                      <w:sz w:val="20"/>
                      <w:szCs w:val="20"/>
                    </w:rPr>
                    <w:t>Цена за ед. изм.(руб</w:t>
                  </w:r>
                  <w:r>
                    <w:rPr>
                      <w:b/>
                      <w:bCs/>
                      <w:color w:val="000000"/>
                      <w:sz w:val="20"/>
                      <w:szCs w:val="20"/>
                    </w:rPr>
                    <w:t>.) в т.ч.</w:t>
                  </w:r>
                  <w:r w:rsidRPr="005C5147">
                    <w:rPr>
                      <w:b/>
                      <w:bCs/>
                      <w:color w:val="000000"/>
                      <w:sz w:val="20"/>
                      <w:szCs w:val="20"/>
                    </w:rPr>
                    <w:t xml:space="preserve"> НДС</w:t>
                  </w:r>
                </w:p>
              </w:tc>
              <w:tc>
                <w:tcPr>
                  <w:tcW w:w="486" w:type="pct"/>
                  <w:tcBorders>
                    <w:bottom w:val="single" w:sz="4" w:space="0" w:color="auto"/>
                  </w:tcBorders>
                  <w:vAlign w:val="center"/>
                </w:tcPr>
                <w:p w:rsidR="00971149" w:rsidRPr="007614CD" w:rsidRDefault="00971149" w:rsidP="00971149">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971149" w:rsidRPr="00E946AC" w:rsidRDefault="00971149" w:rsidP="00971149">
                  <w:pPr>
                    <w:jc w:val="center"/>
                    <w:rPr>
                      <w:b/>
                      <w:sz w:val="20"/>
                      <w:szCs w:val="20"/>
                    </w:rPr>
                  </w:pPr>
                </w:p>
              </w:tc>
              <w:tc>
                <w:tcPr>
                  <w:tcW w:w="507" w:type="pct"/>
                  <w:tcBorders>
                    <w:bottom w:val="single" w:sz="4" w:space="0" w:color="auto"/>
                  </w:tcBorders>
                  <w:vAlign w:val="center"/>
                </w:tcPr>
                <w:p w:rsidR="00971149" w:rsidRPr="007614CD" w:rsidRDefault="00971149" w:rsidP="00971149">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971149" w:rsidRPr="00E946AC" w:rsidRDefault="00971149" w:rsidP="00971149">
                  <w:pPr>
                    <w:jc w:val="center"/>
                    <w:rPr>
                      <w:b/>
                      <w:sz w:val="20"/>
                      <w:szCs w:val="20"/>
                    </w:rPr>
                  </w:pPr>
                </w:p>
              </w:tc>
            </w:tr>
            <w:tr w:rsidR="00971149" w:rsidTr="00971149">
              <w:trPr>
                <w:trHeight w:val="297"/>
                <w:jc w:val="center"/>
              </w:trPr>
              <w:tc>
                <w:tcPr>
                  <w:tcW w:w="650" w:type="pct"/>
                  <w:tcBorders>
                    <w:top w:val="single" w:sz="4" w:space="0" w:color="auto"/>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Pr>
                      <w:sz w:val="20"/>
                      <w:szCs w:val="20"/>
                    </w:rPr>
                    <w:t xml:space="preserve">Творог  </w:t>
                  </w:r>
                </w:p>
              </w:tc>
              <w:tc>
                <w:tcPr>
                  <w:tcW w:w="1570" w:type="pct"/>
                </w:tcPr>
                <w:p w:rsidR="00971149" w:rsidRPr="007C4138" w:rsidRDefault="00971149" w:rsidP="00971149">
                  <w:pPr>
                    <w:rPr>
                      <w:sz w:val="20"/>
                      <w:szCs w:val="20"/>
                    </w:rPr>
                  </w:pPr>
                  <w:r w:rsidRPr="00324CC1">
                    <w:rPr>
                      <w:bCs/>
                      <w:color w:val="000000"/>
                      <w:sz w:val="20"/>
                      <w:szCs w:val="20"/>
                    </w:rPr>
                    <w:t xml:space="preserve">Вкус и запах творога </w:t>
                  </w:r>
                  <w:r>
                    <w:rPr>
                      <w:bCs/>
                      <w:color w:val="000000"/>
                      <w:sz w:val="20"/>
                      <w:szCs w:val="20"/>
                    </w:rPr>
                    <w:t>чистые</w:t>
                  </w:r>
                  <w:r w:rsidRPr="00324CC1">
                    <w:rPr>
                      <w:bCs/>
                      <w:color w:val="000000"/>
                      <w:sz w:val="20"/>
                      <w:szCs w:val="20"/>
                    </w:rPr>
                    <w:t>, нежны</w:t>
                  </w:r>
                  <w:r>
                    <w:rPr>
                      <w:bCs/>
                      <w:color w:val="000000"/>
                      <w:sz w:val="20"/>
                      <w:szCs w:val="20"/>
                    </w:rPr>
                    <w:t>е</w:t>
                  </w:r>
                  <w:r w:rsidRPr="00324CC1">
                    <w:rPr>
                      <w:bCs/>
                      <w:color w:val="000000"/>
                      <w:sz w:val="20"/>
                      <w:szCs w:val="20"/>
                    </w:rPr>
                    <w:t>, кисломолочны</w:t>
                  </w:r>
                  <w:r>
                    <w:rPr>
                      <w:bCs/>
                      <w:color w:val="000000"/>
                      <w:sz w:val="20"/>
                      <w:szCs w:val="20"/>
                    </w:rPr>
                    <w:t xml:space="preserve">е </w:t>
                  </w:r>
                  <w:r w:rsidRPr="00324CC1">
                    <w:rPr>
                      <w:bCs/>
                      <w:color w:val="000000"/>
                      <w:sz w:val="20"/>
                      <w:szCs w:val="20"/>
                    </w:rPr>
                    <w:t>без посторонних привкусов и запахов. Консистенция творога мягк</w:t>
                  </w:r>
                  <w:r>
                    <w:rPr>
                      <w:bCs/>
                      <w:color w:val="000000"/>
                      <w:sz w:val="20"/>
                      <w:szCs w:val="20"/>
                    </w:rPr>
                    <w:t>ая</w:t>
                  </w:r>
                  <w:r w:rsidRPr="00324CC1">
                    <w:rPr>
                      <w:bCs/>
                      <w:color w:val="000000"/>
                      <w:sz w:val="20"/>
                      <w:szCs w:val="20"/>
                    </w:rPr>
                    <w:t>, не допускается однородная, мажущаяся консистенция. Цвет белы</w:t>
                  </w:r>
                  <w:r>
                    <w:rPr>
                      <w:bCs/>
                      <w:color w:val="000000"/>
                      <w:sz w:val="20"/>
                      <w:szCs w:val="20"/>
                    </w:rPr>
                    <w:t>й</w:t>
                  </w:r>
                  <w:r w:rsidRPr="00324CC1">
                    <w:rPr>
                      <w:bCs/>
                      <w:color w:val="000000"/>
                      <w:sz w:val="20"/>
                      <w:szCs w:val="20"/>
                    </w:rPr>
                    <w:t xml:space="preserve"> с кремовым оттенком. Массовая доля жира </w:t>
                  </w:r>
                  <w:r>
                    <w:rPr>
                      <w:bCs/>
                      <w:color w:val="000000"/>
                      <w:sz w:val="20"/>
                      <w:szCs w:val="20"/>
                    </w:rPr>
                    <w:t>не менее 5</w:t>
                  </w:r>
                  <w:r w:rsidRPr="00324CC1">
                    <w:rPr>
                      <w:bCs/>
                      <w:color w:val="000000"/>
                      <w:sz w:val="20"/>
                      <w:szCs w:val="20"/>
                    </w:rPr>
                    <w:t xml:space="preserve"> %. Срок годности </w:t>
                  </w:r>
                  <w:r>
                    <w:rPr>
                      <w:bCs/>
                      <w:color w:val="000000"/>
                      <w:sz w:val="20"/>
                      <w:szCs w:val="20"/>
                    </w:rPr>
                    <w:t>не менее</w:t>
                  </w:r>
                  <w:r w:rsidRPr="00324CC1">
                    <w:rPr>
                      <w:bCs/>
                      <w:color w:val="000000"/>
                      <w:sz w:val="20"/>
                      <w:szCs w:val="20"/>
                    </w:rPr>
                    <w:t xml:space="preserve"> </w:t>
                  </w:r>
                  <w:r>
                    <w:rPr>
                      <w:bCs/>
                      <w:color w:val="000000"/>
                      <w:sz w:val="20"/>
                      <w:szCs w:val="20"/>
                    </w:rPr>
                    <w:t>15 суток</w:t>
                  </w:r>
                  <w:r w:rsidRPr="00324CC1">
                    <w:rPr>
                      <w:bCs/>
                      <w:color w:val="000000"/>
                      <w:sz w:val="20"/>
                      <w:szCs w:val="20"/>
                    </w:rPr>
                    <w:t>.</w:t>
                  </w:r>
                  <w:r>
                    <w:rPr>
                      <w:bCs/>
                      <w:color w:val="000000"/>
                      <w:sz w:val="20"/>
                      <w:szCs w:val="20"/>
                    </w:rPr>
                    <w:t xml:space="preserve"> </w:t>
                  </w:r>
                  <w:r>
                    <w:rPr>
                      <w:spacing w:val="2"/>
                      <w:sz w:val="20"/>
                      <w:szCs w:val="20"/>
                      <w:shd w:val="clear" w:color="auto" w:fill="FFFFFF"/>
                    </w:rPr>
                    <w:t>Объём 0,3</w:t>
                  </w:r>
                  <w:r w:rsidRPr="00324CC1">
                    <w:rPr>
                      <w:spacing w:val="2"/>
                      <w:sz w:val="20"/>
                      <w:szCs w:val="20"/>
                      <w:shd w:val="clear" w:color="auto" w:fill="FFFFFF"/>
                    </w:rPr>
                    <w:t xml:space="preserve"> кг</w:t>
                  </w:r>
                  <w:r>
                    <w:rPr>
                      <w:spacing w:val="2"/>
                      <w:sz w:val="20"/>
                      <w:szCs w:val="20"/>
                      <w:shd w:val="clear" w:color="auto" w:fill="FFFFFF"/>
                    </w:rPr>
                    <w:t>.</w:t>
                  </w:r>
                </w:p>
                <w:p w:rsidR="00971149" w:rsidRPr="007C4138" w:rsidRDefault="00971149" w:rsidP="00971149">
                  <w:pPr>
                    <w:rPr>
                      <w:sz w:val="20"/>
                      <w:szCs w:val="20"/>
                    </w:rPr>
                  </w:pPr>
                  <w:r w:rsidRPr="00250B00">
                    <w:rPr>
                      <w:sz w:val="20"/>
                      <w:szCs w:val="20"/>
                    </w:rPr>
                    <w:t>ГОСТ 31453-2013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шт.</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1200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Pr="00612F4A" w:rsidRDefault="00971149" w:rsidP="00971149">
                  <w:pPr>
                    <w:autoSpaceDE w:val="0"/>
                    <w:autoSpaceDN w:val="0"/>
                    <w:adjustRightInd w:val="0"/>
                    <w:jc w:val="center"/>
                    <w:rPr>
                      <w:rFonts w:eastAsia="Calibri"/>
                      <w:color w:val="000000"/>
                      <w:sz w:val="20"/>
                      <w:szCs w:val="20"/>
                    </w:rPr>
                  </w:pPr>
                  <w:r>
                    <w:rPr>
                      <w:rFonts w:eastAsia="Calibri"/>
                      <w:color w:val="000000"/>
                      <w:sz w:val="20"/>
                      <w:szCs w:val="20"/>
                    </w:rPr>
                    <w:t>10%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96,82</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106,50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116181,82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127800,00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Pr>
                      <w:sz w:val="20"/>
                      <w:szCs w:val="20"/>
                    </w:rPr>
                    <w:t xml:space="preserve">Сметана </w:t>
                  </w:r>
                </w:p>
              </w:tc>
              <w:tc>
                <w:tcPr>
                  <w:tcW w:w="1570" w:type="pct"/>
                </w:tcPr>
                <w:p w:rsidR="00971149" w:rsidRPr="00404659" w:rsidRDefault="00971149" w:rsidP="00971149">
                  <w:pPr>
                    <w:rPr>
                      <w:sz w:val="20"/>
                      <w:szCs w:val="20"/>
                    </w:rPr>
                  </w:pPr>
                  <w:r w:rsidRPr="00324CC1">
                    <w:rPr>
                      <w:bCs/>
                      <w:color w:val="000000"/>
                      <w:sz w:val="20"/>
                      <w:szCs w:val="20"/>
                    </w:rPr>
                    <w:t>Консистенция однородная густая масса с глянцевой поверхностью. Вкус и запах - чистые, кисломолочные, без посторонних привкусов и запахов. Цвет белый с кремовым оттенком, равномерный по всей масс</w:t>
                  </w:r>
                  <w:r>
                    <w:rPr>
                      <w:bCs/>
                      <w:color w:val="000000"/>
                      <w:sz w:val="20"/>
                      <w:szCs w:val="20"/>
                    </w:rPr>
                    <w:t>е. Массовая доля жира не менее 15</w:t>
                  </w:r>
                  <w:r w:rsidRPr="00324CC1">
                    <w:rPr>
                      <w:bCs/>
                      <w:color w:val="000000"/>
                      <w:sz w:val="20"/>
                      <w:szCs w:val="20"/>
                    </w:rPr>
                    <w:t xml:space="preserve"> %. Срок годности </w:t>
                  </w:r>
                  <w:r>
                    <w:rPr>
                      <w:bCs/>
                      <w:color w:val="000000"/>
                      <w:sz w:val="20"/>
                      <w:szCs w:val="20"/>
                    </w:rPr>
                    <w:t>–</w:t>
                  </w:r>
                  <w:r w:rsidRPr="00324CC1">
                    <w:rPr>
                      <w:bCs/>
                      <w:color w:val="000000"/>
                      <w:sz w:val="20"/>
                      <w:szCs w:val="20"/>
                    </w:rPr>
                    <w:t xml:space="preserve"> </w:t>
                  </w:r>
                  <w:r>
                    <w:rPr>
                      <w:bCs/>
                      <w:color w:val="000000"/>
                      <w:sz w:val="20"/>
                      <w:szCs w:val="20"/>
                    </w:rPr>
                    <w:t>не менее 10</w:t>
                  </w:r>
                  <w:r w:rsidRPr="00324CC1">
                    <w:rPr>
                      <w:bCs/>
                      <w:color w:val="000000"/>
                      <w:sz w:val="20"/>
                      <w:szCs w:val="20"/>
                    </w:rPr>
                    <w:t xml:space="preserve"> суток.</w:t>
                  </w:r>
                  <w:r w:rsidRPr="00324CC1">
                    <w:rPr>
                      <w:color w:val="2D2D2D"/>
                      <w:spacing w:val="2"/>
                      <w:sz w:val="20"/>
                      <w:szCs w:val="20"/>
                      <w:shd w:val="clear" w:color="auto" w:fill="FFFFFF"/>
                    </w:rPr>
                    <w:t xml:space="preserve"> </w:t>
                  </w:r>
                  <w:r w:rsidRPr="00324CC1">
                    <w:rPr>
                      <w:spacing w:val="2"/>
                      <w:sz w:val="20"/>
                      <w:szCs w:val="20"/>
                      <w:shd w:val="clear" w:color="auto" w:fill="FFFFFF"/>
                    </w:rPr>
                    <w:t xml:space="preserve">Объём </w:t>
                  </w:r>
                  <w:r>
                    <w:rPr>
                      <w:spacing w:val="2"/>
                      <w:sz w:val="20"/>
                      <w:szCs w:val="20"/>
                      <w:shd w:val="clear" w:color="auto" w:fill="FFFFFF"/>
                    </w:rPr>
                    <w:t>не менее 0,2</w:t>
                  </w:r>
                  <w:r w:rsidRPr="00324CC1">
                    <w:rPr>
                      <w:spacing w:val="2"/>
                      <w:sz w:val="20"/>
                      <w:szCs w:val="20"/>
                      <w:shd w:val="clear" w:color="auto" w:fill="FFFFFF"/>
                    </w:rPr>
                    <w:t xml:space="preserve"> кг.</w:t>
                  </w:r>
                </w:p>
                <w:p w:rsidR="00971149" w:rsidRPr="00404659" w:rsidRDefault="00971149" w:rsidP="00971149">
                  <w:pPr>
                    <w:rPr>
                      <w:sz w:val="20"/>
                      <w:szCs w:val="20"/>
                    </w:rPr>
                  </w:pPr>
                  <w:r w:rsidRPr="00250B00">
                    <w:rPr>
                      <w:sz w:val="20"/>
                      <w:szCs w:val="20"/>
                    </w:rPr>
                    <w:t>ТУ 9222-355-00419785-04</w:t>
                  </w: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1200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44,10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48,51</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52920,00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58212,00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Pr>
                      <w:sz w:val="20"/>
                      <w:szCs w:val="20"/>
                    </w:rPr>
                    <w:t xml:space="preserve">Варенец </w:t>
                  </w:r>
                </w:p>
              </w:tc>
              <w:tc>
                <w:tcPr>
                  <w:tcW w:w="1570" w:type="pct"/>
                </w:tcPr>
                <w:p w:rsidR="00971149" w:rsidRPr="00404659" w:rsidRDefault="00971149" w:rsidP="00971149">
                  <w:pPr>
                    <w:rPr>
                      <w:sz w:val="20"/>
                      <w:szCs w:val="20"/>
                    </w:rPr>
                  </w:pPr>
                  <w:r w:rsidRPr="00404659">
                    <w:rPr>
                      <w:sz w:val="20"/>
                      <w:szCs w:val="20"/>
                      <w:lang w:eastAsia="ar-SA"/>
                    </w:rPr>
                    <w:t xml:space="preserve">Вкус и запах: чистые, кисломолочные, с выраженным привкусом пастеризации, без посторонних привкусов и запахов. Цвет: от молочно-белого до светло-кремового, равномерный по всей массе. Консистенция однородная, с нарушенным или ненарушенным сгустком, без газообразования. </w:t>
                  </w:r>
                  <w:r>
                    <w:rPr>
                      <w:bCs/>
                      <w:color w:val="000000"/>
                      <w:sz w:val="20"/>
                      <w:szCs w:val="20"/>
                    </w:rPr>
                    <w:t>Массовая доля жира не менее 2.5%</w:t>
                  </w:r>
                  <w:r w:rsidRPr="00324CC1">
                    <w:rPr>
                      <w:bCs/>
                      <w:color w:val="000000"/>
                      <w:sz w:val="20"/>
                      <w:szCs w:val="20"/>
                    </w:rPr>
                    <w:t xml:space="preserve"> </w:t>
                  </w:r>
                  <w:r w:rsidRPr="00404659">
                    <w:rPr>
                      <w:bCs/>
                      <w:color w:val="000000"/>
                      <w:sz w:val="20"/>
                      <w:szCs w:val="20"/>
                    </w:rPr>
                    <w:t>Срок годности – не менее 7 суток.</w:t>
                  </w:r>
                  <w:r w:rsidRPr="00404659">
                    <w:rPr>
                      <w:color w:val="2D2D2D"/>
                      <w:spacing w:val="2"/>
                      <w:sz w:val="20"/>
                      <w:szCs w:val="20"/>
                      <w:shd w:val="clear" w:color="auto" w:fill="FFFFFF"/>
                    </w:rPr>
                    <w:t xml:space="preserve"> </w:t>
                  </w:r>
                  <w:r w:rsidRPr="00404659">
                    <w:rPr>
                      <w:spacing w:val="2"/>
                      <w:sz w:val="20"/>
                      <w:szCs w:val="20"/>
                      <w:shd w:val="clear" w:color="auto" w:fill="FFFFFF"/>
                    </w:rPr>
                    <w:t>Объём не менее 0,5 кг</w:t>
                  </w:r>
                  <w:r>
                    <w:rPr>
                      <w:spacing w:val="2"/>
                      <w:sz w:val="20"/>
                      <w:szCs w:val="20"/>
                      <w:shd w:val="clear" w:color="auto" w:fill="FFFFFF"/>
                    </w:rPr>
                    <w:t>. Твердая упаковка.</w:t>
                  </w:r>
                </w:p>
                <w:p w:rsidR="00971149" w:rsidRPr="00404659" w:rsidRDefault="00971149" w:rsidP="00971149">
                  <w:pPr>
                    <w:rPr>
                      <w:sz w:val="20"/>
                      <w:szCs w:val="20"/>
                    </w:rPr>
                  </w:pPr>
                  <w:r w:rsidRPr="00250B00">
                    <w:rPr>
                      <w:sz w:val="20"/>
                      <w:szCs w:val="20"/>
                    </w:rPr>
                    <w:t>ТУ 9222-388-00419785-05</w:t>
                  </w: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340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36,20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39,82</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12308,00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13538,80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sidRPr="00DA0936">
                    <w:rPr>
                      <w:sz w:val="20"/>
                      <w:szCs w:val="20"/>
                    </w:rPr>
                    <w:t xml:space="preserve">Йогурт </w:t>
                  </w:r>
                  <w:r>
                    <w:rPr>
                      <w:sz w:val="20"/>
                      <w:szCs w:val="20"/>
                    </w:rPr>
                    <w:t>фруктовый «Клубника»</w:t>
                  </w:r>
                </w:p>
              </w:tc>
              <w:tc>
                <w:tcPr>
                  <w:tcW w:w="1570" w:type="pct"/>
                </w:tcPr>
                <w:p w:rsidR="00971149" w:rsidRDefault="00971149" w:rsidP="00971149">
                  <w:pPr>
                    <w:rPr>
                      <w:sz w:val="20"/>
                      <w:szCs w:val="20"/>
                    </w:rPr>
                  </w:pPr>
                  <w:r w:rsidRPr="00324CC1">
                    <w:rPr>
                      <w:sz w:val="20"/>
                      <w:szCs w:val="20"/>
                    </w:rPr>
                    <w:t xml:space="preserve">Йогурт (с фруктовыми наполнителями, без добавок) с массовой долей </w:t>
                  </w:r>
                  <w:r>
                    <w:rPr>
                      <w:sz w:val="20"/>
                      <w:szCs w:val="20"/>
                    </w:rPr>
                    <w:t xml:space="preserve">жира не менее </w:t>
                  </w:r>
                  <w:r w:rsidRPr="00324CC1">
                    <w:rPr>
                      <w:sz w:val="20"/>
                      <w:szCs w:val="20"/>
                    </w:rPr>
                    <w:t xml:space="preserve">2,5 %; Срок годности </w:t>
                  </w:r>
                  <w:r>
                    <w:rPr>
                      <w:sz w:val="20"/>
                      <w:szCs w:val="20"/>
                    </w:rPr>
                    <w:t>не менее 10 суток.</w:t>
                  </w:r>
                  <w:r w:rsidRPr="00324CC1">
                    <w:rPr>
                      <w:sz w:val="20"/>
                      <w:szCs w:val="20"/>
                    </w:rPr>
                    <w:t xml:space="preserve"> Консистенция однородная, в меру вязкая, при добавлении загустителей или стабилизирующих добавок - желеобразная или кремообразная. Допускается наличие включений нерастворимых частиц, характерных для внесенных </w:t>
                  </w:r>
                  <w:r w:rsidRPr="00324CC1">
                    <w:rPr>
                      <w:sz w:val="20"/>
                      <w:szCs w:val="20"/>
                    </w:rPr>
                    <w:lastRenderedPageBreak/>
                    <w:t>компонентов. Вкус и запах -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 Цвет - молочно-белый или обусловленный цветом внесенных компонентов, однородный или с вкраплениями нерастворимых частиц, фасовка 0,5 кг.</w:t>
                  </w:r>
                  <w:r>
                    <w:rPr>
                      <w:sz w:val="20"/>
                      <w:szCs w:val="20"/>
                    </w:rPr>
                    <w:t xml:space="preserve"> Твердая упаковка.</w:t>
                  </w:r>
                </w:p>
                <w:p w:rsidR="00971149" w:rsidRPr="00404659" w:rsidRDefault="00971149" w:rsidP="00971149">
                  <w:pPr>
                    <w:rPr>
                      <w:sz w:val="20"/>
                      <w:szCs w:val="20"/>
                    </w:rPr>
                  </w:pPr>
                  <w:r>
                    <w:rPr>
                      <w:sz w:val="20"/>
                      <w:szCs w:val="20"/>
                    </w:rPr>
                    <w:t xml:space="preserve"> ТУ 9222-001-00419785-14</w:t>
                  </w: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lastRenderedPageBreak/>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340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44,40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48,84</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15096,00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16605,60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sidRPr="00DA0936">
                    <w:rPr>
                      <w:sz w:val="20"/>
                      <w:szCs w:val="20"/>
                    </w:rPr>
                    <w:lastRenderedPageBreak/>
                    <w:t>Йо</w:t>
                  </w:r>
                  <w:r>
                    <w:rPr>
                      <w:sz w:val="20"/>
                      <w:szCs w:val="20"/>
                    </w:rPr>
                    <w:t>гурт «Злаки-Печенье»</w:t>
                  </w:r>
                  <w:r>
                    <w:rPr>
                      <w:rFonts w:eastAsia="Calibri"/>
                      <w:color w:val="000000"/>
                      <w:sz w:val="20"/>
                      <w:szCs w:val="20"/>
                    </w:rPr>
                    <w:t xml:space="preserve"> </w:t>
                  </w:r>
                  <w:r>
                    <w:rPr>
                      <w:rFonts w:eastAsia="Calibri"/>
                      <w:color w:val="000000"/>
                      <w:sz w:val="20"/>
                      <w:szCs w:val="20"/>
                    </w:rPr>
                    <w:t>или эквивалент</w:t>
                  </w:r>
                </w:p>
              </w:tc>
              <w:tc>
                <w:tcPr>
                  <w:tcW w:w="1570" w:type="pct"/>
                </w:tcPr>
                <w:p w:rsidR="00971149" w:rsidRDefault="00971149" w:rsidP="00971149">
                  <w:pPr>
                    <w:rPr>
                      <w:sz w:val="20"/>
                      <w:szCs w:val="20"/>
                    </w:rPr>
                  </w:pPr>
                  <w:r>
                    <w:rPr>
                      <w:sz w:val="20"/>
                      <w:szCs w:val="20"/>
                    </w:rPr>
                    <w:t xml:space="preserve">Йогурт </w:t>
                  </w:r>
                  <w:r w:rsidRPr="00324CC1">
                    <w:rPr>
                      <w:sz w:val="20"/>
                      <w:szCs w:val="20"/>
                    </w:rPr>
                    <w:t xml:space="preserve">с массовой долей </w:t>
                  </w:r>
                  <w:r>
                    <w:rPr>
                      <w:sz w:val="20"/>
                      <w:szCs w:val="20"/>
                    </w:rPr>
                    <w:t xml:space="preserve">жира не менее </w:t>
                  </w:r>
                  <w:r w:rsidRPr="00324CC1">
                    <w:rPr>
                      <w:sz w:val="20"/>
                      <w:szCs w:val="20"/>
                    </w:rPr>
                    <w:t xml:space="preserve">2,5 %; Срок годности </w:t>
                  </w:r>
                  <w:r>
                    <w:rPr>
                      <w:sz w:val="20"/>
                      <w:szCs w:val="20"/>
                    </w:rPr>
                    <w:t>не менее 10 суток.</w:t>
                  </w:r>
                  <w:r w:rsidRPr="00324CC1">
                    <w:rPr>
                      <w:sz w:val="20"/>
                      <w:szCs w:val="20"/>
                    </w:rPr>
                    <w:t xml:space="preserve"> Консистенция однородная, в меру вязкая, при добавлении загустителей или стабилизирующих добавок - желеобразная или кремообразная. Допускается наличие включений нерастворимых частиц, характерных для внесенных компонентов. Вкус и запах -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 Цвет - молочно-белый или обусловленный цветом внесенных компонентов, однородный или с вкраплениями нерастворимых частиц, фасовка 0,5 кг.</w:t>
                  </w:r>
                  <w:r>
                    <w:rPr>
                      <w:sz w:val="20"/>
                      <w:szCs w:val="20"/>
                    </w:rPr>
                    <w:t xml:space="preserve"> Твердая упаковка.</w:t>
                  </w:r>
                </w:p>
                <w:p w:rsidR="00971149" w:rsidRPr="00404659" w:rsidRDefault="00971149" w:rsidP="00971149">
                  <w:pPr>
                    <w:rPr>
                      <w:sz w:val="20"/>
                      <w:szCs w:val="20"/>
                    </w:rPr>
                  </w:pPr>
                  <w:r>
                    <w:rPr>
                      <w:sz w:val="20"/>
                      <w:szCs w:val="20"/>
                    </w:rPr>
                    <w:t xml:space="preserve"> ТУ 9222-001-00419785-14 </w:t>
                  </w: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350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44,40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48,84</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15540,00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17094,00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Pr>
                      <w:sz w:val="20"/>
                      <w:szCs w:val="20"/>
                    </w:rPr>
                    <w:t>Напиток «Снежок»</w:t>
                  </w:r>
                </w:p>
              </w:tc>
              <w:tc>
                <w:tcPr>
                  <w:tcW w:w="1570" w:type="pct"/>
                </w:tcPr>
                <w:p w:rsidR="00971149" w:rsidRPr="007C4138" w:rsidRDefault="00971149" w:rsidP="00971149">
                  <w:pPr>
                    <w:rPr>
                      <w:sz w:val="20"/>
                      <w:szCs w:val="20"/>
                    </w:rPr>
                  </w:pPr>
                  <w:r w:rsidRPr="00404659">
                    <w:rPr>
                      <w:sz w:val="20"/>
                      <w:szCs w:val="20"/>
                    </w:rPr>
                    <w:t>Консистенция однородная, с нарушенным или ненарушенным сгустком. Допускается газообразование в виде единичных пузырьков. Цвет - молочно-белый, равномерный по всей массе. Массовая доля жира не менее 2,5%.  Срок годности не менее 7 суток, фасовка 0,5 кг.</w:t>
                  </w:r>
                  <w:r>
                    <w:rPr>
                      <w:sz w:val="20"/>
                      <w:szCs w:val="20"/>
                    </w:rPr>
                    <w:t xml:space="preserve"> Твердая упаковка.</w:t>
                  </w:r>
                </w:p>
                <w:p w:rsidR="00971149" w:rsidRPr="007C4138" w:rsidRDefault="00971149" w:rsidP="00971149">
                  <w:pPr>
                    <w:rPr>
                      <w:sz w:val="20"/>
                      <w:szCs w:val="20"/>
                    </w:rPr>
                  </w:pPr>
                  <w:r w:rsidRPr="00607415">
                    <w:rPr>
                      <w:sz w:val="20"/>
                      <w:szCs w:val="20"/>
                    </w:rPr>
                    <w:t>ТУ 9222-388-00419785-05</w:t>
                  </w:r>
                  <w:r>
                    <w:rPr>
                      <w:sz w:val="20"/>
                      <w:szCs w:val="20"/>
                    </w:rPr>
                    <w:t xml:space="preserve"> </w:t>
                  </w: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350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35,80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39,38</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12530,00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13783,00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Pr>
                      <w:sz w:val="20"/>
                      <w:szCs w:val="20"/>
                    </w:rPr>
                    <w:t xml:space="preserve">Ряженка </w:t>
                  </w:r>
                </w:p>
              </w:tc>
              <w:tc>
                <w:tcPr>
                  <w:tcW w:w="1570" w:type="pct"/>
                </w:tcPr>
                <w:p w:rsidR="00971149" w:rsidRPr="007C4138" w:rsidRDefault="00971149" w:rsidP="00971149">
                  <w:pPr>
                    <w:rPr>
                      <w:sz w:val="20"/>
                      <w:szCs w:val="20"/>
                    </w:rPr>
                  </w:pPr>
                  <w:r w:rsidRPr="00404659">
                    <w:rPr>
                      <w:sz w:val="20"/>
                      <w:szCs w:val="20"/>
                    </w:rPr>
                    <w:t>Консистенция однородная, с нарушенным или ненарушенным сгустком без газообразования жидкость. Вкус и запах - чистые, кисломолочные, с выраженным привкусом пастеризации. Цвет - светло-кремовый, равномерный по всей массе. Массовая доля жира не менее 2,5 %. Срок годности – не менее 7 суток, фасовка 0,5 кг.</w:t>
                  </w:r>
                  <w:r>
                    <w:rPr>
                      <w:sz w:val="20"/>
                      <w:szCs w:val="20"/>
                    </w:rPr>
                    <w:t xml:space="preserve"> Твердая упаковка.</w:t>
                  </w:r>
                </w:p>
                <w:p w:rsidR="00971149" w:rsidRDefault="00971149" w:rsidP="00971149">
                  <w:pPr>
                    <w:rPr>
                      <w:sz w:val="20"/>
                      <w:szCs w:val="20"/>
                    </w:rPr>
                  </w:pPr>
                  <w:r w:rsidRPr="00994D55">
                    <w:rPr>
                      <w:sz w:val="20"/>
                      <w:szCs w:val="20"/>
                    </w:rPr>
                    <w:t>ГОСТ 31455-2012</w:t>
                  </w:r>
                </w:p>
                <w:p w:rsidR="00971149" w:rsidRPr="007C4138" w:rsidRDefault="00971149" w:rsidP="00971149">
                  <w:pPr>
                    <w:rPr>
                      <w:sz w:val="20"/>
                      <w:szCs w:val="20"/>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340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36,40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40,04</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12376,00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13613,60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Pr>
                      <w:sz w:val="20"/>
                      <w:szCs w:val="20"/>
                    </w:rPr>
                    <w:lastRenderedPageBreak/>
                    <w:t xml:space="preserve">Кефир </w:t>
                  </w:r>
                </w:p>
              </w:tc>
              <w:tc>
                <w:tcPr>
                  <w:tcW w:w="1570" w:type="pct"/>
                </w:tcPr>
                <w:p w:rsidR="00971149" w:rsidRPr="00404659" w:rsidRDefault="00971149" w:rsidP="00971149">
                  <w:pPr>
                    <w:jc w:val="both"/>
                    <w:rPr>
                      <w:sz w:val="20"/>
                      <w:szCs w:val="20"/>
                    </w:rPr>
                  </w:pPr>
                  <w:r w:rsidRPr="00404659">
                    <w:rPr>
                      <w:sz w:val="20"/>
                      <w:szCs w:val="20"/>
                    </w:rPr>
                    <w:t>Запах -  чистый кисломолочный, свойственный кефиру, без посторонних привкусов и запахов. Вкус слегка острый, допускается дрожжевой привкус.</w:t>
                  </w:r>
                </w:p>
                <w:p w:rsidR="00971149" w:rsidRPr="007C4138" w:rsidRDefault="00971149" w:rsidP="00971149">
                  <w:pPr>
                    <w:rPr>
                      <w:sz w:val="20"/>
                      <w:szCs w:val="20"/>
                    </w:rPr>
                  </w:pPr>
                  <w:r w:rsidRPr="00404659">
                    <w:rPr>
                      <w:sz w:val="20"/>
                      <w:szCs w:val="20"/>
                    </w:rPr>
                    <w:t>Цвет молочно-белый или со слегка кремовым оттенком, равномерным по всей массе. Допускается газообразование, вызванное действием микрофлоры кефирных грибков. Массовая доля жира не менее 2,5 %. Фасовка: 500 г. Срок годности – не менее 7 суток</w:t>
                  </w:r>
                  <w:r>
                    <w:rPr>
                      <w:sz w:val="20"/>
                      <w:szCs w:val="20"/>
                    </w:rPr>
                    <w:t>. Твердая упаковка.</w:t>
                  </w:r>
                </w:p>
                <w:p w:rsidR="00971149" w:rsidRPr="007C4138" w:rsidRDefault="00971149" w:rsidP="00971149">
                  <w:pPr>
                    <w:rPr>
                      <w:sz w:val="20"/>
                      <w:szCs w:val="20"/>
                    </w:rPr>
                  </w:pPr>
                  <w:r w:rsidRPr="00994D55">
                    <w:rPr>
                      <w:sz w:val="20"/>
                      <w:szCs w:val="20"/>
                    </w:rPr>
                    <w:t>ГОСТ 31454-2012</w:t>
                  </w: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340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33,70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37,07</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11458,00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12603,80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sidRPr="00DA0936">
                    <w:rPr>
                      <w:sz w:val="20"/>
                      <w:szCs w:val="20"/>
                    </w:rPr>
                    <w:t>Моло</w:t>
                  </w:r>
                  <w:r>
                    <w:rPr>
                      <w:sz w:val="20"/>
                      <w:szCs w:val="20"/>
                    </w:rPr>
                    <w:t>ко</w:t>
                  </w:r>
                </w:p>
              </w:tc>
              <w:tc>
                <w:tcPr>
                  <w:tcW w:w="1570" w:type="pct"/>
                </w:tcPr>
                <w:p w:rsidR="00971149" w:rsidRDefault="00971149" w:rsidP="00971149">
                  <w:pPr>
                    <w:rPr>
                      <w:sz w:val="20"/>
                      <w:szCs w:val="20"/>
                    </w:rPr>
                  </w:pPr>
                  <w:r>
                    <w:rPr>
                      <w:sz w:val="20"/>
                      <w:szCs w:val="20"/>
                    </w:rPr>
                    <w:t xml:space="preserve">Молоко восстановленное. Жирность молока не менее 2,5%. Молоко должно быть без консервантов и других пищевых добавок, подвергнутое нормализации и пастеризации, молоко свежее, упаковка не нарушена. Фасовка 1л. Консистенция без хлопьев белка и сбившихся комочков жира, цвет – белый, равномерный по всей массе. Запас срока годности товара на момент поставки - не менее 80% от срока годности, указанного производителем на упаковке товара. Товар должен быть российского производства. Соответствие </w:t>
                  </w:r>
                </w:p>
                <w:p w:rsidR="00971149" w:rsidRPr="007C4138" w:rsidRDefault="00971149" w:rsidP="00971149">
                  <w:pPr>
                    <w:rPr>
                      <w:sz w:val="20"/>
                      <w:szCs w:val="20"/>
                    </w:rPr>
                  </w:pPr>
                  <w:r w:rsidRPr="00994D55">
                    <w:rPr>
                      <w:sz w:val="20"/>
                      <w:szCs w:val="20"/>
                    </w:rPr>
                    <w:t>ТУ 9222-150-00419785-04</w:t>
                  </w: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1800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55,10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60,61</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99180,00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109098,00</w:t>
                  </w:r>
                </w:p>
              </w:tc>
            </w:tr>
            <w:tr w:rsidR="00971149" w:rsidTr="00971149">
              <w:trPr>
                <w:trHeight w:val="297"/>
                <w:jc w:val="center"/>
              </w:trPr>
              <w:tc>
                <w:tcPr>
                  <w:tcW w:w="650" w:type="pct"/>
                  <w:tcBorders>
                    <w:top w:val="nil"/>
                    <w:left w:val="single" w:sz="4" w:space="0" w:color="auto"/>
                    <w:bottom w:val="single" w:sz="4" w:space="0" w:color="auto"/>
                    <w:right w:val="single" w:sz="4" w:space="0" w:color="auto"/>
                  </w:tcBorders>
                  <w:shd w:val="clear" w:color="000000" w:fill="FFFFFF"/>
                </w:tcPr>
                <w:p w:rsidR="00971149" w:rsidRPr="00DA0936" w:rsidRDefault="00971149" w:rsidP="00971149">
                  <w:pPr>
                    <w:rPr>
                      <w:sz w:val="20"/>
                      <w:szCs w:val="20"/>
                    </w:rPr>
                  </w:pPr>
                  <w:r>
                    <w:rPr>
                      <w:rFonts w:eastAsia="Calibri"/>
                      <w:color w:val="000000"/>
                      <w:sz w:val="20"/>
                      <w:szCs w:val="20"/>
                    </w:rPr>
                    <w:t>Спред «Амурское»</w:t>
                  </w:r>
                  <w:r>
                    <w:rPr>
                      <w:rFonts w:eastAsia="Calibri"/>
                      <w:color w:val="000000"/>
                      <w:sz w:val="20"/>
                      <w:szCs w:val="20"/>
                    </w:rPr>
                    <w:t xml:space="preserve"> или эквивалент</w:t>
                  </w:r>
                </w:p>
              </w:tc>
              <w:tc>
                <w:tcPr>
                  <w:tcW w:w="1570" w:type="pct"/>
                </w:tcPr>
                <w:p w:rsidR="00971149" w:rsidRPr="00983C8D" w:rsidRDefault="00971149" w:rsidP="00971149">
                  <w:pPr>
                    <w:pStyle w:val="aff8"/>
                    <w:spacing w:before="0" w:beforeAutospacing="0" w:after="0" w:afterAutospacing="0"/>
                    <w:rPr>
                      <w:sz w:val="20"/>
                      <w:szCs w:val="20"/>
                    </w:rPr>
                  </w:pPr>
                  <w:r w:rsidRPr="00983C8D">
                    <w:rPr>
                      <w:color w:val="000000"/>
                      <w:sz w:val="20"/>
                      <w:szCs w:val="20"/>
                      <w:shd w:val="clear" w:color="auto" w:fill="FFFFFF"/>
                    </w:rPr>
                    <w:t>Спред растительно-</w:t>
                  </w:r>
                  <w:r>
                    <w:rPr>
                      <w:color w:val="000000"/>
                      <w:sz w:val="20"/>
                      <w:szCs w:val="20"/>
                      <w:shd w:val="clear" w:color="auto" w:fill="FFFFFF"/>
                    </w:rPr>
                    <w:t>жировой. Ж</w:t>
                  </w:r>
                  <w:r w:rsidRPr="00983C8D">
                    <w:rPr>
                      <w:color w:val="000000"/>
                      <w:sz w:val="20"/>
                      <w:szCs w:val="20"/>
                      <w:shd w:val="clear" w:color="auto" w:fill="FFFFFF"/>
                    </w:rPr>
                    <w:t>ирность 61,5%.</w:t>
                  </w:r>
                  <w:r>
                    <w:rPr>
                      <w:color w:val="000000"/>
                      <w:sz w:val="20"/>
                      <w:szCs w:val="20"/>
                      <w:shd w:val="clear" w:color="auto" w:fill="FFFFFF"/>
                    </w:rPr>
                    <w:t xml:space="preserve"> ТУ 10.42.10-187-13870642-2020.</w:t>
                  </w:r>
                  <w:r w:rsidRPr="00983C8D">
                    <w:rPr>
                      <w:color w:val="000000"/>
                      <w:sz w:val="20"/>
                      <w:szCs w:val="20"/>
                      <w:shd w:val="clear" w:color="auto" w:fill="FFFFFF"/>
                    </w:rPr>
                    <w:t xml:space="preserve"> Вкус: сливочный или сладко сливочный, допускается слабый привкус растительных масел и недостат</w:t>
                  </w:r>
                  <w:r w:rsidRPr="00983C8D">
                    <w:rPr>
                      <w:color w:val="000000"/>
                      <w:sz w:val="20"/>
                      <w:szCs w:val="20"/>
                    </w:rPr>
                    <w:t>очно выраженный сливочный вкус. Консистенция: пластичная, однородная плотная или мягкая. Поверхность среза блестящая, слабо блестящая или матовая, сухая на вид.</w:t>
                  </w:r>
                  <w:r>
                    <w:rPr>
                      <w:color w:val="000000"/>
                      <w:sz w:val="20"/>
                      <w:szCs w:val="20"/>
                    </w:rPr>
                    <w:t xml:space="preserve"> </w:t>
                  </w:r>
                  <w:r w:rsidRPr="00983C8D">
                    <w:rPr>
                      <w:color w:val="000000"/>
                      <w:sz w:val="20"/>
                      <w:szCs w:val="20"/>
                    </w:rPr>
                    <w:t>Вес 180гр.</w:t>
                  </w:r>
                </w:p>
                <w:p w:rsidR="00971149" w:rsidRPr="00712C10" w:rsidRDefault="00971149" w:rsidP="00971149">
                  <w:pPr>
                    <w:rPr>
                      <w:sz w:val="20"/>
                      <w:szCs w:val="20"/>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F730BF">
                    <w:rPr>
                      <w:color w:val="000000"/>
                      <w:sz w:val="20"/>
                      <w:szCs w:val="20"/>
                    </w:rPr>
                    <w:t>шт.</w:t>
                  </w:r>
                </w:p>
              </w:tc>
              <w:tc>
                <w:tcPr>
                  <w:tcW w:w="369"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1200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71149" w:rsidRDefault="00971149" w:rsidP="00971149">
                  <w:pPr>
                    <w:jc w:val="center"/>
                  </w:pPr>
                  <w:r w:rsidRPr="003D052B">
                    <w:rPr>
                      <w:rFonts w:eastAsia="Calibri"/>
                      <w:color w:val="000000"/>
                      <w:sz w:val="20"/>
                      <w:szCs w:val="20"/>
                    </w:rPr>
                    <w:t>10%</w:t>
                  </w:r>
                </w:p>
              </w:tc>
              <w:tc>
                <w:tcPr>
                  <w:tcW w:w="384"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54,00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sz w:val="20"/>
                      <w:szCs w:val="20"/>
                    </w:rPr>
                  </w:pPr>
                  <w:r>
                    <w:rPr>
                      <w:sz w:val="20"/>
                      <w:szCs w:val="20"/>
                    </w:rPr>
                    <w:t>59,40</w:t>
                  </w: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64800,00</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color w:val="000000"/>
                      <w:sz w:val="20"/>
                      <w:szCs w:val="20"/>
                    </w:rPr>
                  </w:pPr>
                  <w:r>
                    <w:rPr>
                      <w:color w:val="000000"/>
                      <w:sz w:val="20"/>
                      <w:szCs w:val="20"/>
                    </w:rPr>
                    <w:t>71280,00</w:t>
                  </w:r>
                </w:p>
              </w:tc>
            </w:tr>
            <w:tr w:rsidR="00971149" w:rsidTr="00971149">
              <w:trPr>
                <w:jc w:val="center"/>
              </w:trPr>
              <w:tc>
                <w:tcPr>
                  <w:tcW w:w="650" w:type="pct"/>
                  <w:tcBorders>
                    <w:top w:val="single" w:sz="4" w:space="0" w:color="auto"/>
                  </w:tcBorders>
                  <w:vAlign w:val="center"/>
                </w:tcPr>
                <w:p w:rsidR="00971149" w:rsidRPr="00BC5919" w:rsidRDefault="00971149" w:rsidP="00971149">
                  <w:pPr>
                    <w:jc w:val="center"/>
                    <w:rPr>
                      <w:sz w:val="20"/>
                      <w:szCs w:val="20"/>
                    </w:rPr>
                  </w:pPr>
                  <w:r w:rsidRPr="00BC5919">
                    <w:rPr>
                      <w:b/>
                      <w:sz w:val="20"/>
                      <w:szCs w:val="20"/>
                    </w:rPr>
                    <w:t>ИТОГО начальная (максимальная) цена</w:t>
                  </w:r>
                </w:p>
              </w:tc>
              <w:tc>
                <w:tcPr>
                  <w:tcW w:w="1570" w:type="pct"/>
                  <w:tcBorders>
                    <w:top w:val="single" w:sz="4" w:space="0" w:color="auto"/>
                  </w:tcBorders>
                </w:tcPr>
                <w:p w:rsidR="00971149" w:rsidRPr="004016F7" w:rsidRDefault="00971149" w:rsidP="00971149">
                  <w:pPr>
                    <w:rPr>
                      <w:b/>
                      <w:sz w:val="20"/>
                      <w:szCs w:val="20"/>
                    </w:rPr>
                  </w:pPr>
                </w:p>
              </w:tc>
              <w:tc>
                <w:tcPr>
                  <w:tcW w:w="284" w:type="pct"/>
                  <w:tcBorders>
                    <w:top w:val="single" w:sz="4" w:space="0" w:color="auto"/>
                  </w:tcBorders>
                  <w:vAlign w:val="center"/>
                </w:tcPr>
                <w:p w:rsidR="00971149" w:rsidRPr="004016F7" w:rsidRDefault="00971149" w:rsidP="00971149">
                  <w:pPr>
                    <w:rPr>
                      <w:b/>
                      <w:sz w:val="20"/>
                      <w:szCs w:val="20"/>
                    </w:rPr>
                  </w:pPr>
                </w:p>
                <w:p w:rsidR="00971149" w:rsidRPr="004016F7" w:rsidRDefault="00971149" w:rsidP="00971149">
                  <w:pPr>
                    <w:jc w:val="center"/>
                    <w:rPr>
                      <w:b/>
                      <w:sz w:val="20"/>
                      <w:szCs w:val="20"/>
                    </w:rPr>
                  </w:pPr>
                </w:p>
              </w:tc>
              <w:tc>
                <w:tcPr>
                  <w:tcW w:w="369" w:type="pct"/>
                  <w:tcBorders>
                    <w:top w:val="nil"/>
                    <w:left w:val="single" w:sz="4" w:space="0" w:color="auto"/>
                    <w:bottom w:val="single" w:sz="4" w:space="0" w:color="auto"/>
                    <w:right w:val="single" w:sz="4" w:space="0" w:color="auto"/>
                  </w:tcBorders>
                  <w:shd w:val="clear" w:color="000000" w:fill="FFFFFF"/>
                  <w:vAlign w:val="center"/>
                </w:tcPr>
                <w:p w:rsidR="00971149" w:rsidRDefault="00971149" w:rsidP="00971149">
                  <w:pPr>
                    <w:jc w:val="center"/>
                    <w:rPr>
                      <w:b/>
                      <w:bCs/>
                      <w:sz w:val="20"/>
                      <w:szCs w:val="20"/>
                    </w:rPr>
                  </w:pPr>
                  <w:r>
                    <w:rPr>
                      <w:b/>
                      <w:bCs/>
                      <w:sz w:val="20"/>
                      <w:szCs w:val="20"/>
                    </w:rPr>
                    <w:t>7460</w:t>
                  </w:r>
                </w:p>
              </w:tc>
              <w:tc>
                <w:tcPr>
                  <w:tcW w:w="333" w:type="pct"/>
                  <w:tcBorders>
                    <w:top w:val="single" w:sz="4" w:space="0" w:color="auto"/>
                    <w:left w:val="nil"/>
                  </w:tcBorders>
                  <w:vAlign w:val="center"/>
                </w:tcPr>
                <w:p w:rsidR="00971149" w:rsidRPr="004016F7" w:rsidRDefault="00971149" w:rsidP="00971149">
                  <w:pPr>
                    <w:jc w:val="center"/>
                    <w:rPr>
                      <w:b/>
                      <w:bCs/>
                      <w:sz w:val="20"/>
                      <w:szCs w:val="20"/>
                    </w:rPr>
                  </w:pPr>
                </w:p>
              </w:tc>
              <w:tc>
                <w:tcPr>
                  <w:tcW w:w="384" w:type="pct"/>
                  <w:tcBorders>
                    <w:top w:val="single" w:sz="4" w:space="0" w:color="auto"/>
                  </w:tcBorders>
                  <w:vAlign w:val="center"/>
                </w:tcPr>
                <w:p w:rsidR="00971149" w:rsidRPr="004016F7" w:rsidRDefault="00971149" w:rsidP="00971149">
                  <w:pPr>
                    <w:jc w:val="center"/>
                    <w:rPr>
                      <w:b/>
                      <w:bCs/>
                      <w:sz w:val="20"/>
                      <w:szCs w:val="20"/>
                    </w:rPr>
                  </w:pPr>
                </w:p>
              </w:tc>
              <w:tc>
                <w:tcPr>
                  <w:tcW w:w="417" w:type="pct"/>
                  <w:tcBorders>
                    <w:top w:val="single" w:sz="4" w:space="0" w:color="auto"/>
                    <w:right w:val="single" w:sz="4" w:space="0" w:color="auto"/>
                  </w:tcBorders>
                  <w:vAlign w:val="center"/>
                </w:tcPr>
                <w:p w:rsidR="00971149" w:rsidRPr="004016F7" w:rsidRDefault="00971149" w:rsidP="00971149">
                  <w:pPr>
                    <w:jc w:val="center"/>
                    <w:rPr>
                      <w:b/>
                      <w:bCs/>
                      <w:iCs/>
                      <w:color w:val="000000"/>
                      <w:sz w:val="20"/>
                      <w:szCs w:val="20"/>
                    </w:rPr>
                  </w:pPr>
                </w:p>
              </w:tc>
              <w:tc>
                <w:tcPr>
                  <w:tcW w:w="486"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b/>
                      <w:bCs/>
                      <w:color w:val="000000"/>
                      <w:sz w:val="20"/>
                      <w:szCs w:val="20"/>
                    </w:rPr>
                  </w:pPr>
                  <w:r>
                    <w:rPr>
                      <w:b/>
                      <w:bCs/>
                      <w:color w:val="000000"/>
                      <w:sz w:val="20"/>
                      <w:szCs w:val="20"/>
                    </w:rPr>
                    <w:t>412 389,82</w:t>
                  </w:r>
                </w:p>
              </w:tc>
              <w:tc>
                <w:tcPr>
                  <w:tcW w:w="507" w:type="pct"/>
                  <w:tcBorders>
                    <w:top w:val="nil"/>
                    <w:left w:val="single" w:sz="4" w:space="0" w:color="auto"/>
                    <w:bottom w:val="single" w:sz="4" w:space="0" w:color="auto"/>
                    <w:right w:val="single" w:sz="4" w:space="0" w:color="auto"/>
                  </w:tcBorders>
                  <w:shd w:val="clear" w:color="auto" w:fill="auto"/>
                  <w:vAlign w:val="center"/>
                </w:tcPr>
                <w:p w:rsidR="00971149" w:rsidRDefault="00971149" w:rsidP="00971149">
                  <w:pPr>
                    <w:jc w:val="center"/>
                    <w:rPr>
                      <w:b/>
                      <w:bCs/>
                      <w:color w:val="000000"/>
                      <w:sz w:val="20"/>
                      <w:szCs w:val="20"/>
                    </w:rPr>
                  </w:pPr>
                  <w:r>
                    <w:rPr>
                      <w:b/>
                      <w:bCs/>
                      <w:color w:val="000000"/>
                      <w:sz w:val="20"/>
                      <w:szCs w:val="20"/>
                    </w:rPr>
                    <w:t>453 628,80</w:t>
                  </w:r>
                </w:p>
              </w:tc>
            </w:tr>
          </w:tbl>
          <w:p w:rsidR="00971149" w:rsidRPr="008F0789" w:rsidRDefault="0097114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971149" w:rsidRPr="00C76C3F" w:rsidRDefault="00971149" w:rsidP="00971149">
            <w:pPr>
              <w:contextualSpacing/>
              <w:jc w:val="both"/>
              <w:rPr>
                <w:b/>
              </w:rPr>
            </w:pPr>
            <w:r w:rsidRPr="00C76C3F">
              <w:rPr>
                <w:b/>
              </w:rPr>
              <w:t xml:space="preserve">- 412 389,82 </w:t>
            </w:r>
            <w:r w:rsidRPr="00C76C3F">
              <w:t>(четыреста двенадцать тысяч триста восемьдесят девять) рублей 82 копейки без учета НДС,</w:t>
            </w:r>
            <w:r w:rsidRPr="00C76C3F">
              <w:rPr>
                <w:b/>
              </w:rPr>
              <w:t xml:space="preserve"> </w:t>
            </w:r>
          </w:p>
          <w:p w:rsidR="00E227C3" w:rsidRPr="00215326" w:rsidRDefault="00971149" w:rsidP="00971149">
            <w:pPr>
              <w:contextualSpacing/>
            </w:pPr>
            <w:r w:rsidRPr="00C76C3F">
              <w:rPr>
                <w:b/>
              </w:rPr>
              <w:t xml:space="preserve"> - 453 628,80 </w:t>
            </w:r>
            <w:r w:rsidRPr="00C76C3F">
              <w:t xml:space="preserve">(четыреста пятьдесят три тысячи шестьсот двадцать </w:t>
            </w:r>
            <w:r w:rsidRPr="00C76C3F">
              <w:lastRenderedPageBreak/>
              <w:t>восемь рублей 40 копеек с учетом НДС 10%</w:t>
            </w:r>
            <w:r w:rsidR="00891E7B" w:rsidRPr="00D9420E">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F26731" w:rsidP="00971149">
            <w:pPr>
              <w:contextualSpacing/>
              <w:jc w:val="both"/>
              <w:rPr>
                <w:bCs/>
              </w:rPr>
            </w:pPr>
            <w:r>
              <w:rPr>
                <w:bCs/>
              </w:rPr>
              <w:t>1</w:t>
            </w:r>
            <w:r w:rsidR="009232BF">
              <w:rPr>
                <w:bCs/>
              </w:rPr>
              <w:t>0</w:t>
            </w:r>
            <w:r w:rsidR="00A01A54" w:rsidRPr="008F0789">
              <w:rPr>
                <w:bCs/>
              </w:rPr>
              <w:t xml:space="preserve"> (</w:t>
            </w:r>
            <w:r w:rsidR="009A6A44">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971149" w:rsidP="00971149">
            <w:pPr>
              <w:rPr>
                <w:b/>
                <w:i/>
              </w:rPr>
            </w:pPr>
            <w:r>
              <w:rPr>
                <w:b/>
                <w:bCs/>
              </w:rPr>
              <w:t>М</w:t>
            </w:r>
            <w:r w:rsidRPr="00C76C3F">
              <w:rPr>
                <w:b/>
                <w:bCs/>
              </w:rPr>
              <w:t>олочн</w:t>
            </w:r>
            <w:r>
              <w:rPr>
                <w:b/>
                <w:bCs/>
              </w:rPr>
              <w:t>ая продукция</w:t>
            </w:r>
            <w:r w:rsidRPr="00C76C3F">
              <w:rPr>
                <w:b/>
                <w:bCs/>
              </w:rPr>
              <w:t>, масложиров</w:t>
            </w:r>
            <w:r>
              <w:rPr>
                <w:b/>
                <w:bCs/>
              </w:rPr>
              <w:t>ая продукция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 xml:space="preserve">Требования к упаковке, </w:t>
            </w:r>
            <w:r w:rsidRPr="008F0789">
              <w:rPr>
                <w:bCs/>
              </w:rPr>
              <w:lastRenderedPageBreak/>
              <w:t>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lastRenderedPageBreak/>
              <w:t xml:space="preserve">Упаковка и маркировка товара, а также хранение должны быть осуществлены Поставщиком </w:t>
            </w:r>
            <w:r w:rsidRPr="008F0789">
              <w:rPr>
                <w:bCs/>
              </w:rPr>
              <w:lastRenderedPageBreak/>
              <w:t>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A25B64" w:rsidRPr="008F0789" w:rsidTr="00E729E7">
        <w:tc>
          <w:tcPr>
            <w:tcW w:w="992" w:type="pct"/>
          </w:tcPr>
          <w:p w:rsidR="00A25B64" w:rsidRPr="008F0789" w:rsidRDefault="00A25B64" w:rsidP="00A25B64">
            <w:pPr>
              <w:contextualSpacing/>
              <w:jc w:val="both"/>
            </w:pPr>
            <w:r w:rsidRPr="008F0789">
              <w:t xml:space="preserve">Место </w:t>
            </w:r>
            <w:r w:rsidRPr="008F0789">
              <w:rPr>
                <w:bCs/>
              </w:rPr>
              <w:t>поставки товаров</w:t>
            </w:r>
          </w:p>
        </w:tc>
        <w:tc>
          <w:tcPr>
            <w:tcW w:w="4008" w:type="pct"/>
            <w:gridSpan w:val="3"/>
          </w:tcPr>
          <w:p w:rsidR="00A25B64" w:rsidRPr="00194A99" w:rsidRDefault="00A25B64" w:rsidP="00A25B64">
            <w:r w:rsidRPr="00194A99">
              <w:t>1.Производственно - складская база Свободненского ТПО Читинского филиала АО «ЖТК»</w:t>
            </w:r>
          </w:p>
          <w:p w:rsidR="00A25B64" w:rsidRPr="00194A99" w:rsidRDefault="00A25B64" w:rsidP="00A25B64">
            <w:r w:rsidRPr="00194A99">
              <w:t>676450 г. Свободный, ул. Деповская, 2.</w:t>
            </w:r>
          </w:p>
          <w:p w:rsidR="00A25B64" w:rsidRPr="00194A99" w:rsidRDefault="00A25B64" w:rsidP="00A25B64">
            <w:r w:rsidRPr="00194A99">
              <w:t xml:space="preserve">2.Столовая ДОЛБ ст. Уруша – Амурская обл., п. Уруша, ул. Партизанская, 100 </w:t>
            </w:r>
          </w:p>
          <w:p w:rsidR="00A25B64" w:rsidRPr="00194A99" w:rsidRDefault="00A25B64" w:rsidP="00A25B64">
            <w:r w:rsidRPr="00194A99">
              <w:t xml:space="preserve">3.Столовая ДОЛБ ст. Сковородино – Амурская обл., г. </w:t>
            </w:r>
            <w:r>
              <w:t>Сковородино, ул. Победы, стр.1</w:t>
            </w:r>
          </w:p>
          <w:p w:rsidR="00A25B64" w:rsidRPr="00194A99" w:rsidRDefault="00A25B64" w:rsidP="00A25B64">
            <w:r w:rsidRPr="00194A99">
              <w:lastRenderedPageBreak/>
              <w:t>4.Столовая ДОЛБ ст. Магдагачи – Амурская обл., п. Магдагачи, ул. Советская, 10</w:t>
            </w:r>
          </w:p>
          <w:p w:rsidR="00A25B64" w:rsidRPr="00194A99" w:rsidRDefault="00A25B64" w:rsidP="00A25B64">
            <w:r w:rsidRPr="00194A99">
              <w:t>5. Буфет ст. Шимановск – Амурская обл., г. Шимановск, ул. Первомайская, 32</w:t>
            </w:r>
          </w:p>
          <w:p w:rsidR="00A25B64" w:rsidRPr="00194A99" w:rsidRDefault="00A25B64" w:rsidP="00A25B64">
            <w:r w:rsidRPr="00194A99">
              <w:t>6.Столовая ДОЛБ ст. Белогорск – Амурская обл., г. Белогорск, ул.Кирова,2</w:t>
            </w:r>
          </w:p>
          <w:p w:rsidR="00A25B64" w:rsidRPr="00194A99" w:rsidRDefault="00A25B64" w:rsidP="00A25B64">
            <w:r w:rsidRPr="00194A99">
              <w:t>7. Столовая ДОЛБ ДТШ – Амурская обл., г. Свободный, ул. Некрасова, 87</w:t>
            </w:r>
          </w:p>
          <w:p w:rsidR="00A25B64" w:rsidRPr="00E946AC" w:rsidRDefault="00A25B64" w:rsidP="00A25B64">
            <w:pPr>
              <w:rPr>
                <w:i/>
              </w:rPr>
            </w:pPr>
            <w:r w:rsidRPr="00194A99">
              <w:t>8.  Буфет ДОЛБ ст. Завитая – Амурская обл., г. Завитинск, ул.Станционная,21</w:t>
            </w:r>
          </w:p>
        </w:tc>
      </w:tr>
      <w:tr w:rsidR="00A25B64" w:rsidRPr="008F0789" w:rsidTr="00E729E7">
        <w:tc>
          <w:tcPr>
            <w:tcW w:w="992" w:type="pct"/>
          </w:tcPr>
          <w:p w:rsidR="00A25B64" w:rsidRPr="008F0789" w:rsidRDefault="00A25B64" w:rsidP="00A25B64">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A25B64" w:rsidRPr="008F0789" w:rsidRDefault="00A25B64" w:rsidP="00A25B64">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25B64" w:rsidRPr="008F0789" w:rsidRDefault="00A25B64" w:rsidP="00A25B64">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A25B64" w:rsidRPr="008F0789" w:rsidRDefault="00A25B64" w:rsidP="00A25B64">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A25B64" w:rsidRPr="008F0789" w:rsidRDefault="00A25B64" w:rsidP="00A25B64">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A25B64" w:rsidRPr="008F0789" w:rsidRDefault="00A25B64" w:rsidP="00A25B64">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25B64" w:rsidRPr="008F0789" w:rsidRDefault="00A25B64" w:rsidP="00A25B64">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A25B64" w:rsidRPr="008F0789" w:rsidRDefault="00A25B64" w:rsidP="00A25B64">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A25B64" w:rsidRPr="008F0789" w:rsidRDefault="00A25B64" w:rsidP="00A25B64">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A25B64" w:rsidRPr="008F0789" w:rsidRDefault="00A25B64" w:rsidP="00A25B64">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25B64" w:rsidRPr="008F0789" w:rsidRDefault="00A25B64" w:rsidP="00A25B64">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25B64" w:rsidRPr="008F0789" w:rsidRDefault="00A25B64" w:rsidP="00A25B64">
            <w:pPr>
              <w:tabs>
                <w:tab w:val="left" w:pos="1170"/>
              </w:tabs>
              <w:ind w:firstLine="709"/>
              <w:contextualSpacing/>
            </w:pPr>
            <w:r w:rsidRPr="008F0789">
              <w:lastRenderedPageBreak/>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25B64" w:rsidRPr="008F0789" w:rsidRDefault="00A25B64" w:rsidP="00A25B64">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25B64" w:rsidRPr="008F0789" w:rsidTr="00E729E7">
        <w:tc>
          <w:tcPr>
            <w:tcW w:w="992" w:type="pct"/>
          </w:tcPr>
          <w:p w:rsidR="00A25B64" w:rsidRPr="008F0789" w:rsidRDefault="00A25B64" w:rsidP="00A25B64">
            <w:pPr>
              <w:contextualSpacing/>
              <w:jc w:val="both"/>
            </w:pPr>
            <w:r w:rsidRPr="008F0789">
              <w:lastRenderedPageBreak/>
              <w:t xml:space="preserve">Сроки </w:t>
            </w:r>
            <w:r w:rsidRPr="008F0789">
              <w:rPr>
                <w:bCs/>
              </w:rPr>
              <w:t>поставки товаров</w:t>
            </w:r>
          </w:p>
        </w:tc>
        <w:tc>
          <w:tcPr>
            <w:tcW w:w="4008" w:type="pct"/>
            <w:gridSpan w:val="3"/>
          </w:tcPr>
          <w:p w:rsidR="00A25B64" w:rsidRDefault="00A25B64" w:rsidP="00A25B64">
            <w:pPr>
              <w:contextualSpacing/>
              <w:jc w:val="both"/>
            </w:pPr>
            <w:r w:rsidRPr="008F0789">
              <w:t xml:space="preserve">с момента заключения договора по </w:t>
            </w:r>
            <w:r>
              <w:t>31</w:t>
            </w:r>
            <w:r w:rsidRPr="008F0789">
              <w:t>.</w:t>
            </w:r>
            <w:r>
              <w:t>12</w:t>
            </w:r>
            <w:r w:rsidRPr="008F0789">
              <w:t>.20</w:t>
            </w:r>
            <w:r>
              <w:t>21</w:t>
            </w:r>
            <w:r w:rsidRPr="008F0789">
              <w:t xml:space="preserve"> г.</w:t>
            </w:r>
            <w:r>
              <w:t xml:space="preserve"> </w:t>
            </w:r>
            <w:r w:rsidRPr="008F0789">
              <w:t>(включительно)</w:t>
            </w:r>
          </w:p>
          <w:p w:rsidR="00A25B64" w:rsidRDefault="00A25B64" w:rsidP="00A25B64">
            <w:pPr>
              <w:contextualSpacing/>
              <w:jc w:val="both"/>
            </w:pPr>
          </w:p>
          <w:p w:rsidR="00A25B64" w:rsidRDefault="00A25B64" w:rsidP="00A25B64">
            <w:pPr>
              <w:contextualSpacing/>
              <w:jc w:val="both"/>
            </w:pPr>
          </w:p>
          <w:p w:rsidR="00A25B64" w:rsidRPr="008F0789" w:rsidRDefault="00A25B64" w:rsidP="00A25B64">
            <w:pPr>
              <w:contextualSpacing/>
              <w:jc w:val="both"/>
            </w:pP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5. Форма, сроки и порядок оплаты</w:t>
            </w:r>
          </w:p>
        </w:tc>
      </w:tr>
      <w:tr w:rsidR="00A25B64" w:rsidRPr="008F0789" w:rsidTr="00E729E7">
        <w:trPr>
          <w:trHeight w:val="70"/>
        </w:trPr>
        <w:tc>
          <w:tcPr>
            <w:tcW w:w="992" w:type="pct"/>
          </w:tcPr>
          <w:p w:rsidR="00A25B64" w:rsidRPr="008F0789" w:rsidRDefault="00A25B64" w:rsidP="00A25B64">
            <w:pPr>
              <w:contextualSpacing/>
              <w:jc w:val="both"/>
              <w:rPr>
                <w:i/>
              </w:rPr>
            </w:pPr>
            <w:r w:rsidRPr="008F0789">
              <w:rPr>
                <w:bCs/>
              </w:rPr>
              <w:t>Форма оплаты</w:t>
            </w:r>
          </w:p>
        </w:tc>
        <w:tc>
          <w:tcPr>
            <w:tcW w:w="4008" w:type="pct"/>
            <w:gridSpan w:val="3"/>
          </w:tcPr>
          <w:p w:rsidR="00A25B64" w:rsidRPr="008F0789" w:rsidRDefault="00A25B64" w:rsidP="00A25B64">
            <w:pPr>
              <w:contextualSpacing/>
              <w:jc w:val="both"/>
            </w:pPr>
            <w:r w:rsidRPr="008F0789">
              <w:rPr>
                <w:bCs/>
              </w:rPr>
              <w:t>Оплата осуществляется в безналичной форме путем перечисления средств на счет контрагента.</w:t>
            </w:r>
          </w:p>
        </w:tc>
      </w:tr>
      <w:tr w:rsidR="00A25B64" w:rsidRPr="008F0789" w:rsidTr="00E729E7">
        <w:tc>
          <w:tcPr>
            <w:tcW w:w="992" w:type="pct"/>
          </w:tcPr>
          <w:p w:rsidR="00A25B64" w:rsidRPr="008F0789" w:rsidRDefault="00A25B64" w:rsidP="00A25B64">
            <w:pPr>
              <w:contextualSpacing/>
              <w:jc w:val="both"/>
              <w:rPr>
                <w:i/>
              </w:rPr>
            </w:pPr>
            <w:r w:rsidRPr="008F0789">
              <w:rPr>
                <w:bCs/>
              </w:rPr>
              <w:t>Авансирование</w:t>
            </w:r>
          </w:p>
        </w:tc>
        <w:tc>
          <w:tcPr>
            <w:tcW w:w="4008" w:type="pct"/>
            <w:gridSpan w:val="3"/>
          </w:tcPr>
          <w:p w:rsidR="00A25B64" w:rsidRPr="008F0789" w:rsidRDefault="00A25B64" w:rsidP="00A25B64">
            <w:pPr>
              <w:contextualSpacing/>
              <w:jc w:val="both"/>
              <w:rPr>
                <w:bCs/>
              </w:rPr>
            </w:pPr>
            <w:r w:rsidRPr="008F0789">
              <w:rPr>
                <w:bCs/>
              </w:rPr>
              <w:t>Авансирование не предусмотрено</w:t>
            </w:r>
          </w:p>
        </w:tc>
      </w:tr>
      <w:tr w:rsidR="00A25B64" w:rsidRPr="008F0789" w:rsidTr="00E729E7">
        <w:tc>
          <w:tcPr>
            <w:tcW w:w="992" w:type="pct"/>
          </w:tcPr>
          <w:p w:rsidR="00A25B64" w:rsidRPr="008F0789" w:rsidRDefault="00A25B64" w:rsidP="00A25B64">
            <w:pPr>
              <w:contextualSpacing/>
              <w:jc w:val="both"/>
              <w:rPr>
                <w:i/>
              </w:rPr>
            </w:pPr>
            <w:r w:rsidRPr="008F0789">
              <w:rPr>
                <w:bCs/>
              </w:rPr>
              <w:t>Срок и порядок оплаты</w:t>
            </w:r>
          </w:p>
        </w:tc>
        <w:tc>
          <w:tcPr>
            <w:tcW w:w="4008" w:type="pct"/>
            <w:gridSpan w:val="3"/>
          </w:tcPr>
          <w:p w:rsidR="00A25B64" w:rsidRPr="008F0789" w:rsidRDefault="00A25B64" w:rsidP="00A25B64">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25B64" w:rsidRPr="008F0789" w:rsidRDefault="00A25B64" w:rsidP="00A25B64">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Иные требования</w:t>
            </w:r>
          </w:p>
        </w:tc>
      </w:tr>
      <w:tr w:rsidR="00A25B64" w:rsidRPr="008F0789" w:rsidTr="00E729E7">
        <w:tc>
          <w:tcPr>
            <w:tcW w:w="5000" w:type="pct"/>
            <w:gridSpan w:val="4"/>
          </w:tcPr>
          <w:p w:rsidR="00A25B64" w:rsidRPr="008F0789" w:rsidRDefault="00A25B64" w:rsidP="00A25B64">
            <w:pPr>
              <w:contextualSpacing/>
              <w:jc w:val="both"/>
            </w:pPr>
            <w:r w:rsidRPr="008F0789">
              <w:rPr>
                <w:bCs/>
              </w:rPr>
              <w:t>Не предусмотрены</w:t>
            </w:r>
          </w:p>
        </w:tc>
      </w:tr>
      <w:tr w:rsidR="00A25B64" w:rsidRPr="008F0789" w:rsidTr="00E729E7">
        <w:tc>
          <w:tcPr>
            <w:tcW w:w="5000" w:type="pct"/>
            <w:gridSpan w:val="4"/>
          </w:tcPr>
          <w:p w:rsidR="00A25B64" w:rsidRPr="008F0789" w:rsidRDefault="00A25B64" w:rsidP="00A25B64">
            <w:pPr>
              <w:contextualSpacing/>
              <w:jc w:val="both"/>
              <w:rPr>
                <w:b/>
              </w:rPr>
            </w:pPr>
            <w:r w:rsidRPr="008F0789">
              <w:rPr>
                <w:b/>
              </w:rPr>
              <w:t>7. Расчет стоимости товаров за единицу</w:t>
            </w:r>
          </w:p>
        </w:tc>
      </w:tr>
      <w:tr w:rsidR="00A25B64" w:rsidRPr="008F0789" w:rsidTr="00E729E7">
        <w:tc>
          <w:tcPr>
            <w:tcW w:w="5000" w:type="pct"/>
            <w:gridSpan w:val="4"/>
          </w:tcPr>
          <w:p w:rsidR="00A25B64" w:rsidRPr="008F0789" w:rsidRDefault="00A25B64" w:rsidP="00A25B64">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971149">
        <w:rPr>
          <w:b/>
          <w:bCs/>
        </w:rPr>
        <w:t>молочная</w:t>
      </w:r>
      <w:r w:rsidR="00971149" w:rsidRPr="00971149">
        <w:rPr>
          <w:b/>
          <w:bCs/>
        </w:rPr>
        <w:t xml:space="preserve"> продукци</w:t>
      </w:r>
      <w:r w:rsidR="00971149">
        <w:rPr>
          <w:b/>
          <w:bCs/>
        </w:rPr>
        <w:t>я, масложировая</w:t>
      </w:r>
      <w:r w:rsidR="00971149" w:rsidRPr="00971149">
        <w:rPr>
          <w:b/>
          <w:bCs/>
        </w:rPr>
        <w:t xml:space="preserve"> продукци</w:t>
      </w:r>
      <w:r w:rsidR="00971149">
        <w:rPr>
          <w:b/>
          <w:bCs/>
        </w:rPr>
        <w:t>я</w:t>
      </w:r>
      <w:r w:rsidR="00971149" w:rsidRPr="00971149">
        <w:rPr>
          <w:b/>
          <w:bCs/>
        </w:rPr>
        <w:t xml:space="preserve"> для предприятий общественного питания Свободненского ТПО, оказывающих услуги питания работникам ОАО "РЖД"</w:t>
      </w:r>
      <w:r w:rsidR="00B31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25B64" w:rsidRDefault="00A25B64" w:rsidP="00A25B64">
      <w:pPr>
        <w:jc w:val="both"/>
      </w:pPr>
      <w:r>
        <w:t>- Производственно - складская база Свободненского ТПО Читинского филиала АО «ЖТК»</w:t>
      </w:r>
    </w:p>
    <w:p w:rsidR="00A25B64" w:rsidRDefault="00A25B64" w:rsidP="00A25B64">
      <w:pPr>
        <w:jc w:val="both"/>
      </w:pPr>
      <w:r>
        <w:t>676450 г. Свободный, ул. Деповская, 2.</w:t>
      </w:r>
    </w:p>
    <w:p w:rsidR="00A25B64" w:rsidRDefault="00A25B64" w:rsidP="00A25B64">
      <w:pPr>
        <w:jc w:val="both"/>
      </w:pPr>
      <w:r>
        <w:t xml:space="preserve">- Столовая ДОЛБ ст. Уруша – Амурская обл., п. Уруша, ул. Партизанская, 100 </w:t>
      </w:r>
    </w:p>
    <w:p w:rsidR="00A25B64" w:rsidRDefault="00A25B64" w:rsidP="00A25B64">
      <w:pPr>
        <w:jc w:val="both"/>
      </w:pPr>
      <w:r>
        <w:t>- Столовая ДОЛБ ст. Сковородино – Амурская обл., г. Сковородино, ул. Победы, стр.1</w:t>
      </w:r>
    </w:p>
    <w:p w:rsidR="00A25B64" w:rsidRDefault="00A25B64" w:rsidP="00A25B64">
      <w:pPr>
        <w:jc w:val="both"/>
      </w:pPr>
      <w:r>
        <w:t>- Столовая ДОЛБ ст. Магдагачи – Амурская обл., п. Магдагачи, ул. Советская, 10</w:t>
      </w:r>
    </w:p>
    <w:p w:rsidR="00A25B64" w:rsidRDefault="00A25B64" w:rsidP="00A25B64">
      <w:pPr>
        <w:jc w:val="both"/>
      </w:pPr>
      <w:r>
        <w:t>- Буфет ст. Шимановск – Амурская обл., г. Шимановск, ул. Первомайская, 32</w:t>
      </w:r>
    </w:p>
    <w:p w:rsidR="00A25B64" w:rsidRDefault="00A25B64" w:rsidP="00A25B64">
      <w:pPr>
        <w:jc w:val="both"/>
      </w:pPr>
      <w:r>
        <w:t>- Столовая ДОЛБ ст. Белогорск – Амурская обл., г. Белогорск, ул.Кирова,2</w:t>
      </w:r>
    </w:p>
    <w:p w:rsidR="00A25B64" w:rsidRDefault="00A25B64" w:rsidP="00A25B64">
      <w:pPr>
        <w:jc w:val="both"/>
      </w:pPr>
      <w:r>
        <w:t>- Столовая ДОЛБ ДТШ – Амурская обл., г. Свободный, ул. Некрасова, 87</w:t>
      </w:r>
    </w:p>
    <w:p w:rsidR="00A25B64" w:rsidRDefault="00A25B64" w:rsidP="00A25B64">
      <w:pPr>
        <w:jc w:val="both"/>
      </w:pPr>
      <w:r>
        <w:t>- Буфет ДОЛБ ст. Завитая – Амурская обл., г. Завитинск, ул.Станционная,21</w:t>
      </w:r>
    </w:p>
    <w:p w:rsidR="003C7F2F" w:rsidRDefault="00A23631" w:rsidP="00AC2527">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rsidR="00215326">
        <w:t>2</w:t>
      </w:r>
      <w:r w:rsidR="00971149">
        <w:t>5</w:t>
      </w:r>
      <w:r w:rsidRPr="008F0789">
        <w:t>/</w:t>
      </w:r>
      <w:r>
        <w:t>21</w:t>
      </w:r>
      <w:r w:rsidRPr="008F0789">
        <w:t xml:space="preserve"> (Протокол № ___ от _______.20</w:t>
      </w:r>
      <w:r>
        <w:t>21</w:t>
      </w:r>
      <w:r w:rsidRPr="008F0789">
        <w:t>г.). Цена каждой единицы поставляемого Товара</w:t>
      </w:r>
      <w:r w:rsidR="00A25B64">
        <w:t xml:space="preserve"> </w:t>
      </w:r>
      <w:r w:rsidRPr="008F0789">
        <w:t>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rsidR="00B31586">
        <w:t>1</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w:t>
      </w:r>
      <w:r w:rsidRPr="008F0789">
        <w:lastRenderedPageBreak/>
        <w:t>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w:t>
      </w:r>
      <w:r w:rsidR="00215326">
        <w:rPr>
          <w:rFonts w:ascii="Times New Roman" w:hAnsi="Times New Roman" w:cs="Times New Roman"/>
          <w:i w:val="0"/>
          <w:sz w:val="24"/>
          <w:szCs w:val="24"/>
        </w:rPr>
        <w:t>2</w:t>
      </w:r>
      <w:r w:rsidR="00971149">
        <w:rPr>
          <w:rFonts w:ascii="Times New Roman" w:hAnsi="Times New Roman" w:cs="Times New Roman"/>
          <w:i w:val="0"/>
          <w:sz w:val="24"/>
          <w:szCs w:val="24"/>
        </w:rPr>
        <w:t>5</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971149" w:rsidRPr="00416475">
        <w:rPr>
          <w:b/>
          <w:bCs/>
          <w:sz w:val="24"/>
          <w:szCs w:val="24"/>
        </w:rPr>
        <w:t>ЗКТ-</w:t>
      </w:r>
      <w:r w:rsidR="00971149">
        <w:rPr>
          <w:b/>
          <w:bCs/>
          <w:sz w:val="24"/>
          <w:szCs w:val="24"/>
        </w:rPr>
        <w:t>25</w:t>
      </w:r>
      <w:r w:rsidR="00971149" w:rsidRPr="00416475">
        <w:rPr>
          <w:b/>
          <w:bCs/>
          <w:sz w:val="24"/>
          <w:szCs w:val="24"/>
        </w:rPr>
        <w:t>/</w:t>
      </w:r>
      <w:r w:rsidR="00971149">
        <w:rPr>
          <w:b/>
          <w:bCs/>
          <w:sz w:val="24"/>
          <w:szCs w:val="24"/>
        </w:rPr>
        <w:t>20</w:t>
      </w:r>
      <w:r w:rsidR="00971149" w:rsidRPr="00416475">
        <w:rPr>
          <w:b/>
          <w:bCs/>
          <w:sz w:val="24"/>
          <w:szCs w:val="24"/>
        </w:rPr>
        <w:t xml:space="preserve"> на право заключения договора поставки </w:t>
      </w:r>
      <w:r w:rsidR="00971149" w:rsidRPr="00C76C3F">
        <w:rPr>
          <w:b/>
          <w:bCs/>
          <w:sz w:val="24"/>
          <w:szCs w:val="24"/>
        </w:rPr>
        <w:t>молочной продукции, масложировой продукции для предприятий общественного питания Свободненского ТПО, оказывающих услуги питания работникам ОАО "РЖД"</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2C318F">
              <w:rPr>
                <w:sz w:val="24"/>
              </w:rPr>
            </w:r>
            <w:r w:rsidR="002C318F">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2C318F">
              <w:rPr>
                <w:sz w:val="24"/>
              </w:rPr>
            </w:r>
            <w:r w:rsidR="002C318F">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2C318F">
              <w:rPr>
                <w:sz w:val="24"/>
              </w:rPr>
            </w:r>
            <w:r w:rsidR="002C318F">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2C318F">
              <w:rPr>
                <w:sz w:val="24"/>
              </w:rPr>
            </w:r>
            <w:r w:rsidR="002C318F">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2C318F">
              <w:rPr>
                <w:sz w:val="24"/>
              </w:rPr>
            </w:r>
            <w:r w:rsidR="002C318F">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2C318F">
              <w:rPr>
                <w:sz w:val="24"/>
              </w:rPr>
            </w:r>
            <w:r w:rsidR="002C318F">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971149" w:rsidRPr="00416475">
        <w:rPr>
          <w:b/>
          <w:bCs/>
          <w:sz w:val="24"/>
          <w:szCs w:val="24"/>
        </w:rPr>
        <w:t>ЗКТ-</w:t>
      </w:r>
      <w:r w:rsidR="00971149">
        <w:rPr>
          <w:b/>
          <w:bCs/>
          <w:sz w:val="24"/>
          <w:szCs w:val="24"/>
        </w:rPr>
        <w:t>25</w:t>
      </w:r>
      <w:r w:rsidR="00971149" w:rsidRPr="00416475">
        <w:rPr>
          <w:b/>
          <w:bCs/>
          <w:sz w:val="24"/>
          <w:szCs w:val="24"/>
        </w:rPr>
        <w:t>/</w:t>
      </w:r>
      <w:r w:rsidR="00971149">
        <w:rPr>
          <w:b/>
          <w:bCs/>
          <w:sz w:val="24"/>
          <w:szCs w:val="24"/>
        </w:rPr>
        <w:t>20</w:t>
      </w:r>
      <w:r w:rsidR="00971149" w:rsidRPr="00416475">
        <w:rPr>
          <w:b/>
          <w:bCs/>
          <w:sz w:val="24"/>
          <w:szCs w:val="24"/>
        </w:rPr>
        <w:t xml:space="preserve"> на право заключения договора поставки </w:t>
      </w:r>
      <w:r w:rsidR="00971149" w:rsidRPr="00C76C3F">
        <w:rPr>
          <w:b/>
          <w:bCs/>
          <w:sz w:val="24"/>
          <w:szCs w:val="24"/>
        </w:rPr>
        <w:t>молочной продукции, масложировой продукции для предприятий общественного питания Свободненского ТПО, оказывающих услуги питания работникам ОАО "РЖД"</w:t>
      </w:r>
      <w:bookmarkStart w:id="9" w:name="_GoBack"/>
      <w:bookmarkEnd w:id="9"/>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22267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22267B">
              <w:rPr>
                <w:b/>
              </w:rPr>
              <w:t>22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w:t>
            </w:r>
            <w:r w:rsidR="0022267B">
              <w:rPr>
                <w:b/>
              </w:rPr>
              <w:t>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8F" w:rsidRDefault="002C318F" w:rsidP="00D63907">
      <w:r>
        <w:separator/>
      </w:r>
    </w:p>
  </w:endnote>
  <w:endnote w:type="continuationSeparator" w:id="0">
    <w:p w:rsidR="002C318F" w:rsidRDefault="002C318F"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71149">
      <w:rPr>
        <w:noProof/>
        <w:sz w:val="18"/>
        <w:szCs w:val="18"/>
      </w:rPr>
      <w:t>27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71149">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8F" w:rsidRDefault="002C318F" w:rsidP="00D63907">
      <w:r>
        <w:separator/>
      </w:r>
    </w:p>
  </w:footnote>
  <w:footnote w:type="continuationSeparator" w:id="0">
    <w:p w:rsidR="002C318F" w:rsidRDefault="002C318F" w:rsidP="00D63907">
      <w:r>
        <w:continuationSeparator/>
      </w:r>
    </w:p>
  </w:footnote>
  <w:footnote w:id="1">
    <w:p w:rsidR="009232BF" w:rsidRDefault="009232B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9"/>
      </w:pPr>
    </w:p>
  </w:footnote>
  <w:footnote w:id="6">
    <w:p w:rsidR="009232BF" w:rsidRPr="002001EA" w:rsidRDefault="009232B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b"/>
      <w:jc w:val="center"/>
    </w:pPr>
  </w:p>
  <w:p w:rsidR="009232BF" w:rsidRDefault="009232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2"/>
  </w:num>
  <w:num w:numId="2">
    <w:abstractNumId w:val="16"/>
  </w:num>
  <w:num w:numId="3">
    <w:abstractNumId w:val="11"/>
  </w:num>
  <w:num w:numId="4">
    <w:abstractNumId w:val="17"/>
  </w:num>
  <w:num w:numId="5">
    <w:abstractNumId w:val="5"/>
  </w:num>
  <w:num w:numId="6">
    <w:abstractNumId w:val="7"/>
  </w:num>
  <w:num w:numId="7">
    <w:abstractNumId w:val="3"/>
  </w:num>
  <w:num w:numId="8">
    <w:abstractNumId w:val="10"/>
  </w:num>
  <w:num w:numId="9">
    <w:abstractNumId w:val="4"/>
  </w:num>
  <w:num w:numId="10">
    <w:abstractNumId w:val="20"/>
  </w:num>
  <w:num w:numId="11">
    <w:abstractNumId w:val="2"/>
  </w:num>
  <w:num w:numId="12">
    <w:abstractNumId w:val="19"/>
  </w:num>
  <w:num w:numId="13">
    <w:abstractNumId w:val="13"/>
  </w:num>
  <w:num w:numId="14">
    <w:abstractNumId w:val="1"/>
  </w:num>
  <w:num w:numId="15">
    <w:abstractNumId w:val="12"/>
  </w:num>
  <w:num w:numId="16">
    <w:abstractNumId w:val="8"/>
  </w:num>
  <w:num w:numId="17">
    <w:abstractNumId w:val="18"/>
  </w:num>
  <w:num w:numId="18">
    <w:abstractNumId w:val="15"/>
  </w:num>
  <w:num w:numId="19">
    <w:abstractNumId w:val="23"/>
  </w:num>
  <w:num w:numId="20">
    <w:abstractNumId w:val="0"/>
  </w:num>
  <w:num w:numId="21">
    <w:abstractNumId w:val="21"/>
  </w:num>
  <w:num w:numId="22">
    <w:abstractNumId w:val="9"/>
  </w:num>
  <w:num w:numId="23">
    <w:abstractNumId w:val="6"/>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15326"/>
    <w:rsid w:val="00220F6D"/>
    <w:rsid w:val="0022267B"/>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18F"/>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0BC2"/>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1E7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71149"/>
    <w:rsid w:val="009802A1"/>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3631"/>
    <w:rsid w:val="00A25922"/>
    <w:rsid w:val="00A25B64"/>
    <w:rsid w:val="00A308A1"/>
    <w:rsid w:val="00A314F5"/>
    <w:rsid w:val="00A33291"/>
    <w:rsid w:val="00A333AC"/>
    <w:rsid w:val="00A34BF3"/>
    <w:rsid w:val="00A36AD7"/>
    <w:rsid w:val="00A37489"/>
    <w:rsid w:val="00A41944"/>
    <w:rsid w:val="00A5508D"/>
    <w:rsid w:val="00A57B25"/>
    <w:rsid w:val="00A739FE"/>
    <w:rsid w:val="00A755B2"/>
    <w:rsid w:val="00A85DD4"/>
    <w:rsid w:val="00A91E87"/>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586"/>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0E4"/>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01DB"/>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1C53"/>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891E7B"/>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891E7B"/>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891E7B"/>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891E7B"/>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891E7B"/>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891E7B"/>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891E7B"/>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891E7B"/>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891E7B"/>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891E7B"/>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891E7B"/>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891E7B"/>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891E7B"/>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891E7B"/>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1E7B"/>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891E7B"/>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891E7B"/>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891E7B"/>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891E7B"/>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891E7B"/>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891E7B"/>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891E7B"/>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891E7B"/>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891E7B"/>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891E7B"/>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891E7B"/>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891E7B"/>
    <w:rPr>
      <w:rFonts w:ascii="Times New Roman" w:hAnsi="Times New Roman" w:cs="Times New Roman"/>
      <w:sz w:val="24"/>
      <w:szCs w:val="24"/>
    </w:rPr>
  </w:style>
  <w:style w:type="paragraph" w:styleId="aff8">
    <w:name w:val="Normal (Web)"/>
    <w:basedOn w:val="a0"/>
    <w:uiPriority w:val="99"/>
    <w:semiHidden/>
    <w:unhideWhenUsed/>
    <w:rsid w:val="00891E7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F1E2AD-E74D-4628-BA73-EB7AE4F9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66</Pages>
  <Words>26006</Words>
  <Characters>148240</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116</cp:revision>
  <cp:lastPrinted>2019-11-06T09:14:00Z</cp:lastPrinted>
  <dcterms:created xsi:type="dcterms:W3CDTF">2019-09-26T05:55:00Z</dcterms:created>
  <dcterms:modified xsi:type="dcterms:W3CDTF">2021-02-27T06:36:00Z</dcterms:modified>
</cp:coreProperties>
</file>