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ED1FCB" w:rsidRPr="00416475">
        <w:rPr>
          <w:b/>
          <w:bCs/>
        </w:rPr>
        <w:t>ЗКТ-</w:t>
      </w:r>
      <w:r w:rsidR="00ED1FCB">
        <w:rPr>
          <w:b/>
          <w:bCs/>
        </w:rPr>
        <w:t>02</w:t>
      </w:r>
      <w:r w:rsidR="00ED1FCB" w:rsidRPr="00416475">
        <w:rPr>
          <w:b/>
          <w:bCs/>
        </w:rPr>
        <w:t>/</w:t>
      </w:r>
      <w:r w:rsidR="00ED1FCB">
        <w:rPr>
          <w:b/>
          <w:bCs/>
        </w:rPr>
        <w:t>20</w:t>
      </w:r>
      <w:r w:rsidR="00ED1FCB" w:rsidRPr="00416475">
        <w:rPr>
          <w:b/>
          <w:bCs/>
        </w:rPr>
        <w:t xml:space="preserve"> на право заключения договора поставки </w:t>
      </w:r>
      <w:r w:rsidR="00ED1FCB" w:rsidRPr="007B49E8">
        <w:rPr>
          <w:b/>
          <w:bCs/>
        </w:rPr>
        <w:t>колбасных изделий для предприятий общественного питания Борзинского участка,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ED1FCB">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3958EC">
              <w:rPr>
                <w:b/>
                <w:bCs/>
              </w:rPr>
              <w:t>0</w:t>
            </w:r>
            <w:r w:rsidR="00ED1FCB">
              <w:rPr>
                <w:b/>
                <w:bCs/>
              </w:rPr>
              <w:t>2</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ED1FCB" w:rsidRPr="007B49E8">
              <w:rPr>
                <w:b/>
                <w:bCs/>
                <w:sz w:val="24"/>
                <w:szCs w:val="24"/>
              </w:rPr>
              <w:t>колбасных изделий для предприятий общественного питания Борзинского участка,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Pr="003958EC"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AA6B7D" w:rsidRDefault="00AA6B7D" w:rsidP="00AF2E3B">
            <w:pPr>
              <w:contextualSpacing/>
              <w:jc w:val="both"/>
              <w:rPr>
                <w:b/>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7"/>
              <w:gridCol w:w="5654"/>
              <w:gridCol w:w="855"/>
              <w:gridCol w:w="990"/>
              <w:gridCol w:w="1416"/>
              <w:gridCol w:w="1416"/>
              <w:gridCol w:w="1698"/>
              <w:gridCol w:w="1965"/>
            </w:tblGrid>
            <w:tr w:rsidR="00ED1FCB" w:rsidRPr="000B56D3" w:rsidTr="00ED1FCB">
              <w:trPr>
                <w:trHeight w:val="841"/>
              </w:trPr>
              <w:tc>
                <w:tcPr>
                  <w:tcW w:w="591" w:type="pct"/>
                </w:tcPr>
                <w:p w:rsidR="00ED1FCB" w:rsidRPr="00ED1FCB" w:rsidRDefault="00ED1FCB" w:rsidP="00ED1FCB">
                  <w:pPr>
                    <w:jc w:val="center"/>
                    <w:rPr>
                      <w:b/>
                      <w:sz w:val="20"/>
                      <w:szCs w:val="20"/>
                    </w:rPr>
                  </w:pPr>
                  <w:r w:rsidRPr="00ED1FCB">
                    <w:rPr>
                      <w:b/>
                      <w:sz w:val="20"/>
                      <w:szCs w:val="20"/>
                    </w:rPr>
                    <w:t>Наименование товара</w:t>
                  </w:r>
                </w:p>
              </w:tc>
              <w:tc>
                <w:tcPr>
                  <w:tcW w:w="1781" w:type="pct"/>
                </w:tcPr>
                <w:p w:rsidR="00ED1FCB" w:rsidRPr="00ED1FCB" w:rsidRDefault="00ED1FCB" w:rsidP="00ED1FCB">
                  <w:pPr>
                    <w:jc w:val="center"/>
                    <w:rPr>
                      <w:b/>
                      <w:sz w:val="20"/>
                      <w:szCs w:val="20"/>
                    </w:rPr>
                  </w:pPr>
                  <w:r>
                    <w:rPr>
                      <w:b/>
                      <w:sz w:val="20"/>
                      <w:szCs w:val="20"/>
                    </w:rPr>
                    <w:t>Характеристики товара</w:t>
                  </w:r>
                </w:p>
              </w:tc>
              <w:tc>
                <w:tcPr>
                  <w:tcW w:w="269" w:type="pct"/>
                  <w:vAlign w:val="center"/>
                </w:tcPr>
                <w:p w:rsidR="00ED1FCB" w:rsidRPr="00ED1FCB" w:rsidRDefault="00ED1FCB" w:rsidP="00ED1FCB">
                  <w:pPr>
                    <w:jc w:val="center"/>
                    <w:rPr>
                      <w:b/>
                      <w:sz w:val="20"/>
                      <w:szCs w:val="20"/>
                    </w:rPr>
                  </w:pPr>
                  <w:r w:rsidRPr="00ED1FCB">
                    <w:rPr>
                      <w:b/>
                      <w:sz w:val="20"/>
                      <w:szCs w:val="20"/>
                    </w:rPr>
                    <w:t>Ед. изм.</w:t>
                  </w:r>
                </w:p>
              </w:tc>
              <w:tc>
                <w:tcPr>
                  <w:tcW w:w="312" w:type="pct"/>
                  <w:vAlign w:val="center"/>
                </w:tcPr>
                <w:p w:rsidR="00ED1FCB" w:rsidRPr="00ED1FCB" w:rsidRDefault="00ED1FCB" w:rsidP="00ED1FCB">
                  <w:pPr>
                    <w:ind w:left="-108"/>
                    <w:jc w:val="center"/>
                    <w:rPr>
                      <w:b/>
                      <w:sz w:val="20"/>
                      <w:szCs w:val="20"/>
                    </w:rPr>
                  </w:pPr>
                  <w:r w:rsidRPr="00ED1FCB">
                    <w:rPr>
                      <w:b/>
                      <w:sz w:val="20"/>
                      <w:szCs w:val="20"/>
                    </w:rPr>
                    <w:t>Количество (объем)</w:t>
                  </w:r>
                </w:p>
              </w:tc>
              <w:tc>
                <w:tcPr>
                  <w:tcW w:w="446" w:type="pct"/>
                  <w:vAlign w:val="center"/>
                </w:tcPr>
                <w:p w:rsidR="00ED1FCB" w:rsidRPr="00ED1FCB" w:rsidRDefault="00ED1FCB" w:rsidP="00ED1FCB">
                  <w:pPr>
                    <w:jc w:val="center"/>
                    <w:rPr>
                      <w:b/>
                      <w:sz w:val="20"/>
                      <w:szCs w:val="20"/>
                    </w:rPr>
                  </w:pPr>
                  <w:r w:rsidRPr="00ED1FCB">
                    <w:rPr>
                      <w:b/>
                      <w:sz w:val="20"/>
                      <w:szCs w:val="20"/>
                    </w:rPr>
                    <w:t>Цена за единицу без учета НДС</w:t>
                  </w:r>
                </w:p>
              </w:tc>
              <w:tc>
                <w:tcPr>
                  <w:tcW w:w="446" w:type="pct"/>
                  <w:vAlign w:val="center"/>
                </w:tcPr>
                <w:p w:rsidR="00ED1FCB" w:rsidRPr="00ED1FCB" w:rsidRDefault="00ED1FCB" w:rsidP="00ED1FCB">
                  <w:pPr>
                    <w:jc w:val="center"/>
                    <w:rPr>
                      <w:b/>
                      <w:sz w:val="20"/>
                      <w:szCs w:val="20"/>
                    </w:rPr>
                  </w:pPr>
                  <w:r w:rsidRPr="00ED1FCB">
                    <w:rPr>
                      <w:b/>
                      <w:sz w:val="20"/>
                      <w:szCs w:val="20"/>
                    </w:rPr>
                    <w:t>Цена за единицу с учетом НДС</w:t>
                  </w:r>
                </w:p>
              </w:tc>
              <w:tc>
                <w:tcPr>
                  <w:tcW w:w="535" w:type="pct"/>
                  <w:vAlign w:val="center"/>
                </w:tcPr>
                <w:p w:rsidR="00ED1FCB" w:rsidRPr="00ED1FCB" w:rsidRDefault="00ED1FCB" w:rsidP="00ED1FCB">
                  <w:pPr>
                    <w:jc w:val="center"/>
                    <w:rPr>
                      <w:b/>
                      <w:sz w:val="20"/>
                      <w:szCs w:val="20"/>
                    </w:rPr>
                  </w:pPr>
                  <w:r w:rsidRPr="00ED1FCB">
                    <w:rPr>
                      <w:b/>
                      <w:sz w:val="20"/>
                      <w:szCs w:val="20"/>
                    </w:rPr>
                    <w:t>Всего без учета НДС</w:t>
                  </w:r>
                </w:p>
              </w:tc>
              <w:tc>
                <w:tcPr>
                  <w:tcW w:w="619" w:type="pct"/>
                  <w:vAlign w:val="center"/>
                </w:tcPr>
                <w:p w:rsidR="00ED1FCB" w:rsidRPr="00ED1FCB" w:rsidRDefault="00ED1FCB" w:rsidP="00ED1FCB">
                  <w:pPr>
                    <w:jc w:val="center"/>
                    <w:rPr>
                      <w:b/>
                      <w:sz w:val="20"/>
                      <w:szCs w:val="20"/>
                    </w:rPr>
                  </w:pPr>
                  <w:r w:rsidRPr="00ED1FCB">
                    <w:rPr>
                      <w:b/>
                      <w:sz w:val="20"/>
                      <w:szCs w:val="20"/>
                    </w:rPr>
                    <w:t>Всего с учетом НДС 10%</w:t>
                  </w:r>
                </w:p>
              </w:tc>
            </w:tr>
            <w:tr w:rsidR="00ED1FCB" w:rsidRPr="00BC4AC3" w:rsidTr="008E38AA">
              <w:trPr>
                <w:trHeight w:val="339"/>
              </w:trPr>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Ветчина «Столичная»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F332EA">
                    <w:rPr>
                      <w:rFonts w:eastAsia="Calibri"/>
                      <w:sz w:val="20"/>
                      <w:szCs w:val="20"/>
                      <w:lang w:eastAsia="en-US"/>
                    </w:rPr>
                    <w:t>Ветчина вареная охлажденная. Мясной продукт категории А. Высший сорт. Упаковано в защитной газовой среде в полиамид.</w:t>
                  </w:r>
                  <w:r>
                    <w:rPr>
                      <w:rFonts w:eastAsia="Calibri"/>
                      <w:sz w:val="20"/>
                      <w:szCs w:val="20"/>
                      <w:lang w:eastAsia="en-US"/>
                    </w:rPr>
                    <w:t xml:space="preserve"> Соответствие ГОСТ</w:t>
                  </w:r>
                  <w:r w:rsidRPr="00F332EA">
                    <w:rPr>
                      <w:rFonts w:eastAsia="Calibri"/>
                      <w:sz w:val="20"/>
                      <w:szCs w:val="20"/>
                      <w:lang w:eastAsia="en-US"/>
                    </w:rPr>
                    <w:t xml:space="preserve"> производителя. Упаковка в пластиковый ящик для транспортировки</w:t>
                  </w:r>
                </w:p>
              </w:tc>
              <w:tc>
                <w:tcPr>
                  <w:tcW w:w="269" w:type="pct"/>
                  <w:vAlign w:val="center"/>
                </w:tcPr>
                <w:p w:rsidR="00ED1FCB" w:rsidRPr="00ED1FCB" w:rsidRDefault="00ED1FCB" w:rsidP="00ED1FCB">
                  <w:pPr>
                    <w:spacing w:after="200"/>
                    <w:jc w:val="center"/>
                    <w:rPr>
                      <w:sz w:val="20"/>
                      <w:szCs w:val="20"/>
                      <w:lang w:eastAsia="en-US"/>
                    </w:rPr>
                  </w:pPr>
                  <w:r w:rsidRPr="00ED1FCB">
                    <w:rPr>
                      <w:sz w:val="20"/>
                      <w:szCs w:val="20"/>
                      <w:lang w:eastAsia="en-US"/>
                    </w:rPr>
                    <w:t>кг</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500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174,76</w:t>
                  </w:r>
                </w:p>
              </w:tc>
              <w:tc>
                <w:tcPr>
                  <w:tcW w:w="446" w:type="pct"/>
                  <w:tcBorders>
                    <w:top w:val="single" w:sz="4" w:space="0" w:color="auto"/>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192,24</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87381,82</w:t>
                  </w:r>
                </w:p>
              </w:tc>
              <w:tc>
                <w:tcPr>
                  <w:tcW w:w="619" w:type="pct"/>
                  <w:tcBorders>
                    <w:top w:val="single" w:sz="4" w:space="0" w:color="auto"/>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96120,00</w:t>
                  </w:r>
                </w:p>
              </w:tc>
            </w:tr>
            <w:tr w:rsidR="00ED1FCB" w:rsidRPr="00BC4AC3" w:rsidTr="008E38AA">
              <w:trPr>
                <w:trHeight w:val="601"/>
              </w:trPr>
              <w:tc>
                <w:tcPr>
                  <w:tcW w:w="591" w:type="pct"/>
                  <w:tcBorders>
                    <w:top w:val="nil"/>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Колбаса вареная «Докторская»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FC38ED">
                    <w:rPr>
                      <w:rFonts w:eastAsia="Calibri"/>
                      <w:sz w:val="20"/>
                      <w:szCs w:val="20"/>
                      <w:lang w:eastAsia="en-US"/>
                    </w:rPr>
                    <w:t>Колбаса вареная охлажденная. Мясной продукт категории А. Высший сорт. Упаковано в защитной газовой среде в полиамид.</w:t>
                  </w:r>
                  <w:r>
                    <w:rPr>
                      <w:rFonts w:eastAsia="Calibri"/>
                      <w:sz w:val="20"/>
                      <w:szCs w:val="20"/>
                      <w:lang w:eastAsia="en-US"/>
                    </w:rPr>
                    <w:t xml:space="preserve"> Соответствие ГОСТ</w:t>
                  </w:r>
                  <w:r w:rsidRPr="00FC38ED">
                    <w:rPr>
                      <w:rFonts w:eastAsia="Calibri"/>
                      <w:sz w:val="20"/>
                      <w:szCs w:val="20"/>
                      <w:lang w:eastAsia="en-US"/>
                    </w:rPr>
                    <w:t xml:space="preserve">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1000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288,65</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317,52</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288654,55</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317520,00</w:t>
                  </w:r>
                </w:p>
              </w:tc>
            </w:tr>
            <w:tr w:rsidR="00ED1FCB" w:rsidRPr="00BC4AC3" w:rsidTr="008E38AA">
              <w:trPr>
                <w:trHeight w:val="698"/>
              </w:trPr>
              <w:tc>
                <w:tcPr>
                  <w:tcW w:w="591" w:type="pct"/>
                  <w:tcBorders>
                    <w:top w:val="nil"/>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Колбаса вареная  «Молочная»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FC38ED">
                    <w:rPr>
                      <w:rFonts w:eastAsia="Calibri"/>
                      <w:sz w:val="20"/>
                      <w:szCs w:val="20"/>
                      <w:lang w:eastAsia="en-US"/>
                    </w:rPr>
                    <w:t>Колбаса вареная охлажденная. Мясной продукт категории А. Высший сорт. Упаковано в защитной газовой с</w:t>
                  </w:r>
                  <w:r>
                    <w:rPr>
                      <w:rFonts w:eastAsia="Calibri"/>
                      <w:sz w:val="20"/>
                      <w:szCs w:val="20"/>
                      <w:lang w:eastAsia="en-US"/>
                    </w:rPr>
                    <w:t>реде в полиамид. Соответствие ГОСТ</w:t>
                  </w:r>
                  <w:r w:rsidRPr="00FC38ED">
                    <w:rPr>
                      <w:rFonts w:eastAsia="Calibri"/>
                      <w:sz w:val="20"/>
                      <w:szCs w:val="20"/>
                      <w:lang w:eastAsia="en-US"/>
                    </w:rPr>
                    <w:t xml:space="preserve">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1000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285,71</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314,28</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285709,09</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314280,00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Колбаса вареная «Классическая Русская»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FC38ED">
                    <w:rPr>
                      <w:rFonts w:eastAsia="Calibri"/>
                      <w:sz w:val="20"/>
                      <w:szCs w:val="20"/>
                      <w:lang w:eastAsia="en-US"/>
                    </w:rPr>
                    <w:t>Колбаса вареная охлажденная. Мясной продукт категории А. Высший сорт. Упаковано в защитной газовой с</w:t>
                  </w:r>
                  <w:r>
                    <w:rPr>
                      <w:rFonts w:eastAsia="Calibri"/>
                      <w:sz w:val="20"/>
                      <w:szCs w:val="20"/>
                      <w:lang w:eastAsia="en-US"/>
                    </w:rPr>
                    <w:t>реде в полиамид. Соответствие ГОСТ</w:t>
                  </w:r>
                  <w:r w:rsidRPr="00FC38ED">
                    <w:rPr>
                      <w:rFonts w:eastAsia="Calibri"/>
                      <w:sz w:val="20"/>
                      <w:szCs w:val="20"/>
                      <w:lang w:eastAsia="en-US"/>
                    </w:rPr>
                    <w:t xml:space="preserve">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1500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109,96</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120,96</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164945,45</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181440,00</w:t>
                  </w:r>
                </w:p>
              </w:tc>
            </w:tr>
            <w:tr w:rsidR="00ED1FCB" w:rsidRPr="00BC4AC3" w:rsidTr="008E38AA">
              <w:tc>
                <w:tcPr>
                  <w:tcW w:w="591" w:type="pct"/>
                  <w:tcBorders>
                    <w:top w:val="nil"/>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Колбаса вареная «Русская»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FC38ED">
                    <w:rPr>
                      <w:rFonts w:eastAsia="Calibri"/>
                      <w:sz w:val="20"/>
                      <w:szCs w:val="20"/>
                      <w:lang w:eastAsia="en-US"/>
                    </w:rPr>
                    <w:t>Колбаса вареная охлажденная. Мясной продукт категории А. Высший сорт. Упаковано в защитной газовой с</w:t>
                  </w:r>
                  <w:r>
                    <w:rPr>
                      <w:rFonts w:eastAsia="Calibri"/>
                      <w:sz w:val="20"/>
                      <w:szCs w:val="20"/>
                      <w:lang w:eastAsia="en-US"/>
                    </w:rPr>
                    <w:t>реде в полиамид. Соответствие ГОСТ</w:t>
                  </w:r>
                  <w:r w:rsidRPr="00FC38ED">
                    <w:rPr>
                      <w:rFonts w:eastAsia="Calibri"/>
                      <w:sz w:val="20"/>
                      <w:szCs w:val="20"/>
                      <w:lang w:eastAsia="en-US"/>
                    </w:rPr>
                    <w:t xml:space="preserve">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1000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296,51</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326,16</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296509,09</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326160,00</w:t>
                  </w:r>
                </w:p>
              </w:tc>
            </w:tr>
            <w:tr w:rsidR="00ED1FCB" w:rsidRPr="00BC4AC3" w:rsidTr="008E38AA">
              <w:tc>
                <w:tcPr>
                  <w:tcW w:w="591" w:type="pct"/>
                  <w:tcBorders>
                    <w:top w:val="nil"/>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Колбаса  «Волжская»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FC38ED">
                    <w:rPr>
                      <w:rFonts w:eastAsia="Calibri"/>
                      <w:sz w:val="20"/>
                      <w:szCs w:val="20"/>
                      <w:lang w:eastAsia="en-US"/>
                    </w:rPr>
                    <w:t>Колбаса вареная охлажденная. Мясной продукт категории А. Высший сорт. Упаковано в защитной газовой с</w:t>
                  </w:r>
                  <w:r>
                    <w:rPr>
                      <w:rFonts w:eastAsia="Calibri"/>
                      <w:sz w:val="20"/>
                      <w:szCs w:val="20"/>
                      <w:lang w:eastAsia="en-US"/>
                    </w:rPr>
                    <w:t>реде в полиамид. Соответствие ГОСТ</w:t>
                  </w:r>
                  <w:r w:rsidRPr="00FC38ED">
                    <w:rPr>
                      <w:rFonts w:eastAsia="Calibri"/>
                      <w:sz w:val="20"/>
                      <w:szCs w:val="20"/>
                      <w:lang w:eastAsia="en-US"/>
                    </w:rPr>
                    <w:t xml:space="preserve">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1000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177,71</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195,48</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177709,09</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195480,00</w:t>
                  </w:r>
                </w:p>
              </w:tc>
            </w:tr>
            <w:tr w:rsidR="00ED1FCB" w:rsidRPr="00BC4AC3" w:rsidTr="008E38AA">
              <w:tc>
                <w:tcPr>
                  <w:tcW w:w="591" w:type="pct"/>
                  <w:tcBorders>
                    <w:top w:val="nil"/>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lastRenderedPageBreak/>
                    <w:t>Сервелат «Банкетный»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F332EA">
                    <w:rPr>
                      <w:rFonts w:eastAsia="Calibri"/>
                      <w:sz w:val="20"/>
                      <w:szCs w:val="20"/>
                      <w:lang w:eastAsia="en-US"/>
                    </w:rPr>
                    <w:t>Ко</w:t>
                  </w:r>
                  <w:r>
                    <w:rPr>
                      <w:rFonts w:eastAsia="Calibri"/>
                      <w:sz w:val="20"/>
                      <w:szCs w:val="20"/>
                      <w:lang w:eastAsia="en-US"/>
                    </w:rPr>
                    <w:t>лбаса варено</w:t>
                  </w:r>
                  <w:r w:rsidRPr="00F332EA">
                    <w:rPr>
                      <w:rFonts w:eastAsia="Calibri"/>
                      <w:sz w:val="20"/>
                      <w:szCs w:val="20"/>
                      <w:lang w:eastAsia="en-US"/>
                    </w:rPr>
                    <w:t>копчёная охлажденная. Мясной продукт категории А. Высший сорт. Упаковано в защитной газовой с</w:t>
                  </w:r>
                  <w:r>
                    <w:rPr>
                      <w:rFonts w:eastAsia="Calibri"/>
                      <w:sz w:val="20"/>
                      <w:szCs w:val="20"/>
                      <w:lang w:eastAsia="en-US"/>
                    </w:rPr>
                    <w:t>реде в полиамид. Соответствие ГОСТ</w:t>
                  </w:r>
                  <w:r w:rsidRPr="00F332EA">
                    <w:rPr>
                      <w:rFonts w:eastAsia="Calibri"/>
                      <w:sz w:val="20"/>
                      <w:szCs w:val="20"/>
                      <w:lang w:eastAsia="en-US"/>
                    </w:rPr>
                    <w:t xml:space="preserve">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416,29</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457,92</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124887,27</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137376,00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Колбаса  «Бременская» или эквивалент</w:t>
                  </w:r>
                </w:p>
              </w:tc>
              <w:tc>
                <w:tcPr>
                  <w:tcW w:w="1781" w:type="pct"/>
                  <w:tcBorders>
                    <w:top w:val="single" w:sz="4" w:space="0" w:color="auto"/>
                    <w:left w:val="single" w:sz="4" w:space="0" w:color="auto"/>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AA29F6">
                    <w:rPr>
                      <w:rFonts w:eastAsia="Calibri"/>
                      <w:sz w:val="20"/>
                      <w:szCs w:val="20"/>
                      <w:lang w:eastAsia="en-US"/>
                    </w:rPr>
                    <w:t>Колбаса полукопчёная охлажденная. Мясной продукт категории А. Высший сорт. Упаковано в защитной газовой среде в полиамид. Соответствие ТУ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500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190,47</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209,52</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95236,36</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104760,00</w:t>
                  </w:r>
                </w:p>
              </w:tc>
            </w:tr>
            <w:tr w:rsidR="00ED1FCB" w:rsidRPr="00BC4AC3" w:rsidTr="008E38AA">
              <w:trPr>
                <w:trHeight w:val="1237"/>
              </w:trPr>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Сервелат «Купеческий» или эквивалент</w:t>
                  </w:r>
                </w:p>
                <w:p w:rsidR="00ED1FCB" w:rsidRPr="00BC4AC3" w:rsidRDefault="00ED1FCB" w:rsidP="00ED1FCB">
                  <w:pPr>
                    <w:spacing w:after="200"/>
                    <w:rPr>
                      <w:rFonts w:eastAsia="Calibri"/>
                      <w:sz w:val="20"/>
                      <w:szCs w:val="20"/>
                      <w:lang w:eastAsia="en-US"/>
                    </w:rPr>
                  </w:pP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AA29F6">
                    <w:rPr>
                      <w:rFonts w:eastAsia="Calibri"/>
                      <w:sz w:val="20"/>
                      <w:szCs w:val="20"/>
                      <w:lang w:eastAsia="en-US"/>
                    </w:rPr>
                    <w:t>Колбаса варенокопчёная охлажденная. Мясной продукт категории А. Высший сорт. Упаковано в защитной газовой среде в полиамид. Соответствие ГОСТ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p>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375,05</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412,56</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112516,36</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123768,00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Салями «Деликатесная» или эквивалент</w:t>
                  </w:r>
                </w:p>
                <w:p w:rsidR="00ED1FCB" w:rsidRPr="00BC4AC3" w:rsidRDefault="00ED1FCB" w:rsidP="00ED1FCB">
                  <w:pPr>
                    <w:spacing w:after="200"/>
                    <w:rPr>
                      <w:rFonts w:eastAsia="Calibri"/>
                      <w:sz w:val="20"/>
                      <w:szCs w:val="20"/>
                      <w:lang w:eastAsia="en-US"/>
                    </w:rPr>
                  </w:pP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AA29F6">
                    <w:rPr>
                      <w:rFonts w:eastAsia="Calibri"/>
                      <w:sz w:val="20"/>
                      <w:szCs w:val="20"/>
                      <w:lang w:eastAsia="en-US"/>
                    </w:rPr>
                    <w:t>Колбаса варенокопчёная охлажденная. Мясной продукт категории А. Высший сорт. Упаковано в защитной газовой среде в полиамид. Соответствие ГОСТ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350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339,71</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373,68</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118898,18</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130788,00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Колбаса «Армавирская» или эквивалент</w:t>
                  </w:r>
                </w:p>
                <w:p w:rsidR="00ED1FCB" w:rsidRPr="00BC4AC3" w:rsidRDefault="00ED1FCB" w:rsidP="00ED1FCB">
                  <w:pPr>
                    <w:spacing w:after="200"/>
                    <w:rPr>
                      <w:rFonts w:eastAsia="Calibri"/>
                      <w:sz w:val="20"/>
                      <w:szCs w:val="20"/>
                      <w:lang w:eastAsia="en-US"/>
                    </w:rPr>
                  </w:pP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AA29F6">
                    <w:rPr>
                      <w:rFonts w:eastAsia="Calibri"/>
                      <w:sz w:val="20"/>
                      <w:szCs w:val="20"/>
                      <w:lang w:eastAsia="en-US"/>
                    </w:rPr>
                    <w:t>Колбаса полукопчёная охлажденная. Мясной продукт категории А. Высший сорт. Упаковано в защитной газовой среде в полиамид. Соответствие ТУ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500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266,07</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292,68</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133036,36</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146340,00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rPr>
                      <w:rFonts w:eastAsia="Calibri"/>
                      <w:sz w:val="20"/>
                      <w:szCs w:val="20"/>
                      <w:lang w:eastAsia="en-US"/>
                    </w:rPr>
                  </w:pPr>
                  <w:r w:rsidRPr="00BC4AC3">
                    <w:rPr>
                      <w:rFonts w:eastAsia="Calibri"/>
                      <w:sz w:val="20"/>
                      <w:szCs w:val="20"/>
                      <w:lang w:eastAsia="en-US"/>
                    </w:rPr>
                    <w:t>Колбаски«Охотничьи» или эквивалент</w:t>
                  </w:r>
                </w:p>
                <w:p w:rsidR="00ED1FCB" w:rsidRPr="00BC4AC3" w:rsidRDefault="00ED1FCB" w:rsidP="00ED1FCB">
                  <w:pPr>
                    <w:spacing w:after="200"/>
                    <w:rPr>
                      <w:rFonts w:eastAsia="Calibri"/>
                      <w:sz w:val="20"/>
                      <w:szCs w:val="20"/>
                      <w:lang w:eastAsia="en-US"/>
                    </w:rPr>
                  </w:pP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Pr>
                      <w:rFonts w:eastAsia="Calibri"/>
                      <w:sz w:val="20"/>
                      <w:szCs w:val="20"/>
                      <w:lang w:eastAsia="en-US"/>
                    </w:rPr>
                    <w:t>Колбаски полукопчёные оригинальные</w:t>
                  </w:r>
                  <w:r w:rsidRPr="00AA29F6">
                    <w:rPr>
                      <w:rFonts w:eastAsia="Calibri"/>
                      <w:sz w:val="20"/>
                      <w:szCs w:val="20"/>
                      <w:lang w:eastAsia="en-US"/>
                    </w:rPr>
                    <w:t>. Мясной продукт категории А. Высший сорт. Упаковано в защитной газовой с</w:t>
                  </w:r>
                  <w:r>
                    <w:rPr>
                      <w:rFonts w:eastAsia="Calibri"/>
                      <w:sz w:val="20"/>
                      <w:szCs w:val="20"/>
                      <w:lang w:eastAsia="en-US"/>
                    </w:rPr>
                    <w:t>реде в полиамид. Соответствие ГОСТ</w:t>
                  </w:r>
                  <w:r w:rsidRPr="00AA29F6">
                    <w:rPr>
                      <w:rFonts w:eastAsia="Calibri"/>
                      <w:sz w:val="20"/>
                      <w:szCs w:val="20"/>
                      <w:lang w:eastAsia="en-US"/>
                    </w:rPr>
                    <w:t xml:space="preserve">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150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400,58</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440,64</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60087,27</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66096,00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rPr>
                      <w:rFonts w:eastAsia="Calibri"/>
                      <w:sz w:val="20"/>
                      <w:szCs w:val="20"/>
                      <w:lang w:eastAsia="en-US"/>
                    </w:rPr>
                  </w:pPr>
                  <w:r w:rsidRPr="00BC4AC3">
                    <w:rPr>
                      <w:rFonts w:eastAsia="Calibri"/>
                      <w:sz w:val="20"/>
                      <w:szCs w:val="20"/>
                      <w:lang w:eastAsia="en-US"/>
                    </w:rPr>
                    <w:t>Сосиски «Венские» или эквивалент</w:t>
                  </w:r>
                </w:p>
                <w:p w:rsidR="00ED1FCB" w:rsidRPr="00BC4AC3" w:rsidRDefault="00ED1FCB" w:rsidP="00ED1FCB">
                  <w:pPr>
                    <w:spacing w:after="200"/>
                    <w:rPr>
                      <w:rFonts w:eastAsia="Calibri"/>
                      <w:sz w:val="20"/>
                      <w:szCs w:val="20"/>
                      <w:lang w:eastAsia="en-US"/>
                    </w:rPr>
                  </w:pP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F332EA">
                    <w:rPr>
                      <w:rFonts w:eastAsia="Calibri"/>
                      <w:sz w:val="20"/>
                      <w:szCs w:val="20"/>
                      <w:lang w:eastAsia="en-US"/>
                    </w:rPr>
                    <w:t>Сосиски вареные охлажденные. Первый сорт. Упаковано в защитной газовой среде в полиамид. Соответствие ТУ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500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307,31</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338,04</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153654,55</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169020,00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bCs/>
                      <w:sz w:val="20"/>
                      <w:szCs w:val="20"/>
                      <w:lang w:eastAsia="en-US"/>
                    </w:rPr>
                    <w:lastRenderedPageBreak/>
                    <w:t>Сосиски «Деревенские»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AA29F6">
                    <w:rPr>
                      <w:rFonts w:eastAsia="Calibri"/>
                      <w:sz w:val="20"/>
                      <w:szCs w:val="20"/>
                      <w:lang w:eastAsia="en-US"/>
                    </w:rPr>
                    <w:t>Сосиски вареные охлажденные. Первый сорт. Упаковано в защитной газовой среде в полиамид. Соответствие ТУ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500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204,22</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224,64</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102109,09</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112320,00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rPr>
                      <w:rFonts w:eastAsia="Calibri"/>
                      <w:sz w:val="20"/>
                      <w:szCs w:val="20"/>
                      <w:lang w:eastAsia="en-US"/>
                    </w:rPr>
                  </w:pPr>
                  <w:r w:rsidRPr="00BC4AC3">
                    <w:rPr>
                      <w:rFonts w:eastAsia="Calibri"/>
                      <w:sz w:val="20"/>
                      <w:szCs w:val="20"/>
                      <w:lang w:eastAsia="en-US"/>
                    </w:rPr>
                    <w:t>Сосиски «Лакомка» или эквивалент</w:t>
                  </w:r>
                </w:p>
                <w:p w:rsidR="00ED1FCB" w:rsidRPr="00BC4AC3" w:rsidRDefault="00ED1FCB" w:rsidP="00ED1FCB">
                  <w:pPr>
                    <w:spacing w:after="200"/>
                    <w:rPr>
                      <w:rFonts w:eastAsia="Calibri"/>
                      <w:sz w:val="20"/>
                      <w:szCs w:val="20"/>
                      <w:lang w:eastAsia="en-US"/>
                    </w:rPr>
                  </w:pP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AA29F6">
                    <w:rPr>
                      <w:rFonts w:eastAsia="Calibri"/>
                      <w:sz w:val="20"/>
                      <w:szCs w:val="20"/>
                      <w:lang w:eastAsia="en-US"/>
                    </w:rPr>
                    <w:t>Сосиски вареные охлажденные. Первый сорт. Упаковано в защитной газовой среде в полиамид. Соответствие ТУ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800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220,91</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243,00</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176727,27</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194400,00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Сосиски «Молочные»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AA29F6">
                    <w:rPr>
                      <w:rFonts w:eastAsia="Calibri"/>
                      <w:sz w:val="20"/>
                      <w:szCs w:val="20"/>
                      <w:lang w:eastAsia="en-US"/>
                    </w:rPr>
                    <w:t>Сосиски вареные охлажденные. Первый сорт. Упаковано в защитной газовой среде в полиамид. Соответствие ТУ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500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332,84</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366,12</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166418,18</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183060,00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Сосиски «Сливочные»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F332EA">
                    <w:rPr>
                      <w:rFonts w:eastAsia="Calibri"/>
                      <w:sz w:val="20"/>
                      <w:szCs w:val="20"/>
                      <w:lang w:eastAsia="en-US"/>
                    </w:rPr>
                    <w:t>Сосиски вареные охлажденные. Первый сорт. Упаковано в защитной газовой среде в полиамид. Соответствие ТУ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500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237,60</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261,36</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118800,00</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130680,00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Сардельки «Невские»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AA29F6">
                    <w:rPr>
                      <w:rFonts w:eastAsia="Calibri"/>
                      <w:sz w:val="20"/>
                      <w:szCs w:val="20"/>
                      <w:lang w:eastAsia="en-US"/>
                    </w:rPr>
                    <w:t>Сардельки вареные охлажденные. Первый сорт. Упаковано в натуральную оболочку. Соответствие ТУ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500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234,65</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258,12</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117327,27</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129060,00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Шпикачки «Смоленские»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Pr>
                      <w:rFonts w:eastAsia="Calibri"/>
                      <w:sz w:val="20"/>
                      <w:szCs w:val="20"/>
                      <w:lang w:eastAsia="en-US"/>
                    </w:rPr>
                    <w:t>Шпикачки</w:t>
                  </w:r>
                  <w:r w:rsidRPr="00F332EA">
                    <w:rPr>
                      <w:rFonts w:eastAsia="Calibri"/>
                      <w:sz w:val="20"/>
                      <w:szCs w:val="20"/>
                      <w:lang w:eastAsia="en-US"/>
                    </w:rPr>
                    <w:t xml:space="preserve"> вареные охлажденные. Первый сорт. Упаковано в натуральную оболочку. Соответствие ТУ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237,60</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261,36</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71280,00</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78408,00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Орешек «Классический»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AA29F6">
                    <w:rPr>
                      <w:rFonts w:eastAsia="Calibri"/>
                      <w:sz w:val="20"/>
                      <w:szCs w:val="20"/>
                      <w:lang w:eastAsia="en-US"/>
                    </w:rPr>
                    <w:t>Упаковано под вакуумом. У 9213-002-46973989.2010. Срок годности: 60 сут.От С до 6 градусов С и относительной влажности воздуха 70-80%. Энергетический состав: Белки: 10,00 г Жиры: 35,00 г Углеводы: 2,00 г Энергетическая ценность: 363,00 ккал Упаковка: пакет пластиковый вакуумный</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312,22</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343,44</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31221,82</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34344,00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Карбонад «Крестьянский»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AA29F6">
                    <w:rPr>
                      <w:rFonts w:eastAsia="Calibri"/>
                      <w:sz w:val="20"/>
                      <w:szCs w:val="20"/>
                      <w:lang w:eastAsia="en-US"/>
                    </w:rPr>
                    <w:t xml:space="preserve">Упаковано под вакуумом. У 9213-002-46973989.2010. Срок годности: 60 сут.От С до 6 градусов С и относительной влажности воздуха 70-80%. Энергетический состав: Белки: 10,00 г Жиры: 35,00 г Углеводы: 2,00 г Энергетическая </w:t>
                  </w:r>
                  <w:r w:rsidRPr="00AA29F6">
                    <w:rPr>
                      <w:rFonts w:eastAsia="Calibri"/>
                      <w:sz w:val="20"/>
                      <w:szCs w:val="20"/>
                      <w:lang w:eastAsia="en-US"/>
                    </w:rPr>
                    <w:lastRenderedPageBreak/>
                    <w:t>ценность: 363,00 ккал Упаковка: пакет пластиковый вакуумный</w:t>
                  </w:r>
                </w:p>
              </w:tc>
              <w:tc>
                <w:tcPr>
                  <w:tcW w:w="269" w:type="pct"/>
                  <w:vAlign w:val="center"/>
                </w:tcPr>
                <w:p w:rsidR="00ED1FCB" w:rsidRPr="00ED1FCB" w:rsidRDefault="00ED1FCB" w:rsidP="00ED1FCB">
                  <w:pPr>
                    <w:jc w:val="center"/>
                    <w:rPr>
                      <w:sz w:val="20"/>
                      <w:szCs w:val="20"/>
                    </w:rPr>
                  </w:pPr>
                  <w:r w:rsidRPr="00ED1FCB">
                    <w:rPr>
                      <w:sz w:val="20"/>
                      <w:szCs w:val="20"/>
                    </w:rPr>
                    <w:lastRenderedPageBreak/>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405,49</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446,04</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40549,09</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44604,00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lastRenderedPageBreak/>
                    <w:t>Грудинка «Деревенская»»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F332EA">
                    <w:rPr>
                      <w:rFonts w:eastAsia="Calibri"/>
                      <w:sz w:val="20"/>
                      <w:szCs w:val="20"/>
                      <w:lang w:eastAsia="en-US"/>
                    </w:rPr>
                    <w:t>Изготовлен из мяса свинины, варено-копченая</w:t>
                  </w:r>
                  <w:r>
                    <w:rPr>
                      <w:rFonts w:eastAsia="Calibri"/>
                      <w:sz w:val="20"/>
                      <w:szCs w:val="20"/>
                      <w:lang w:eastAsia="en-US"/>
                    </w:rPr>
                    <w:t xml:space="preserve"> на шкуре</w:t>
                  </w:r>
                  <w:r w:rsidRPr="00F332EA">
                    <w:rPr>
                      <w:rFonts w:eastAsia="Calibri"/>
                      <w:sz w:val="20"/>
                      <w:szCs w:val="20"/>
                      <w:lang w:eastAsia="en-US"/>
                    </w:rPr>
                    <w:t>. Мясной продукт категории А. Высший сорт. Упакован в вакуумную упаковку.  Соответствие ТУ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366,22</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402,84</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109865,45</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120852,00</w:t>
                  </w:r>
                </w:p>
              </w:tc>
            </w:tr>
            <w:tr w:rsidR="00ED1FCB" w:rsidRPr="00BC4AC3" w:rsidTr="008E38AA">
              <w:tc>
                <w:tcPr>
                  <w:tcW w:w="591" w:type="pct"/>
                  <w:tcBorders>
                    <w:top w:val="single" w:sz="4" w:space="0" w:color="auto"/>
                    <w:left w:val="single" w:sz="4" w:space="0" w:color="auto"/>
                    <w:bottom w:val="single" w:sz="4" w:space="0" w:color="auto"/>
                    <w:right w:val="single" w:sz="4" w:space="0" w:color="auto"/>
                  </w:tcBorders>
                  <w:shd w:val="clear" w:color="auto" w:fill="FFFFFF"/>
                </w:tcPr>
                <w:p w:rsidR="00ED1FCB" w:rsidRPr="00BC4AC3" w:rsidRDefault="00ED1FCB" w:rsidP="00ED1FCB">
                  <w:pPr>
                    <w:spacing w:after="200"/>
                    <w:rPr>
                      <w:rFonts w:eastAsia="Calibri"/>
                      <w:sz w:val="20"/>
                      <w:szCs w:val="20"/>
                      <w:lang w:eastAsia="en-US"/>
                    </w:rPr>
                  </w:pPr>
                  <w:r w:rsidRPr="00BC4AC3">
                    <w:rPr>
                      <w:rFonts w:eastAsia="Calibri"/>
                      <w:sz w:val="20"/>
                      <w:szCs w:val="20"/>
                      <w:lang w:eastAsia="en-US"/>
                    </w:rPr>
                    <w:t>Грудинка «Деревенская» или эквивалент</w:t>
                  </w:r>
                </w:p>
              </w:tc>
              <w:tc>
                <w:tcPr>
                  <w:tcW w:w="1781" w:type="pct"/>
                  <w:tcBorders>
                    <w:top w:val="single" w:sz="4" w:space="0" w:color="auto"/>
                    <w:left w:val="nil"/>
                    <w:bottom w:val="single" w:sz="4" w:space="0" w:color="auto"/>
                    <w:right w:val="single" w:sz="4" w:space="0" w:color="auto"/>
                  </w:tcBorders>
                  <w:shd w:val="clear" w:color="auto" w:fill="FFFFFF"/>
                  <w:vAlign w:val="center"/>
                </w:tcPr>
                <w:p w:rsidR="00ED1FCB" w:rsidRPr="002C3240" w:rsidRDefault="00ED1FCB" w:rsidP="00ED1FCB">
                  <w:pPr>
                    <w:spacing w:after="200"/>
                    <w:rPr>
                      <w:rFonts w:eastAsia="Calibri"/>
                      <w:sz w:val="20"/>
                      <w:szCs w:val="20"/>
                      <w:lang w:eastAsia="en-US"/>
                    </w:rPr>
                  </w:pPr>
                  <w:r w:rsidRPr="00F332EA">
                    <w:rPr>
                      <w:rFonts w:eastAsia="Calibri"/>
                      <w:sz w:val="20"/>
                      <w:szCs w:val="20"/>
                      <w:lang w:eastAsia="en-US"/>
                    </w:rPr>
                    <w:t>Изготовлен из мяса свинины, варено-копченая</w:t>
                  </w:r>
                  <w:r>
                    <w:rPr>
                      <w:rFonts w:eastAsia="Calibri"/>
                      <w:sz w:val="20"/>
                      <w:szCs w:val="20"/>
                      <w:lang w:eastAsia="en-US"/>
                    </w:rPr>
                    <w:t xml:space="preserve"> вязанка</w:t>
                  </w:r>
                  <w:r w:rsidRPr="00F332EA">
                    <w:rPr>
                      <w:rFonts w:eastAsia="Calibri"/>
                      <w:sz w:val="20"/>
                      <w:szCs w:val="20"/>
                      <w:lang w:eastAsia="en-US"/>
                    </w:rPr>
                    <w:t>. Мясной продукт категории А. Высший сорт. Упакован в вакуумную упаковку.  Соответствие ТУ производителя. Упаковка в пластиковый ящик для транспортировки.</w:t>
                  </w:r>
                </w:p>
              </w:tc>
              <w:tc>
                <w:tcPr>
                  <w:tcW w:w="269" w:type="pct"/>
                  <w:vAlign w:val="center"/>
                </w:tcPr>
                <w:p w:rsidR="00ED1FCB" w:rsidRPr="00ED1FCB" w:rsidRDefault="00ED1FCB" w:rsidP="00ED1FCB">
                  <w:pPr>
                    <w:jc w:val="center"/>
                    <w:rPr>
                      <w:sz w:val="20"/>
                      <w:szCs w:val="20"/>
                    </w:rPr>
                  </w:pPr>
                  <w:r w:rsidRPr="00ED1FCB">
                    <w:rPr>
                      <w:sz w:val="20"/>
                      <w:szCs w:val="20"/>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300</w:t>
                  </w:r>
                </w:p>
              </w:tc>
              <w:tc>
                <w:tcPr>
                  <w:tcW w:w="446"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403,53</w:t>
                  </w:r>
                </w:p>
              </w:tc>
              <w:tc>
                <w:tcPr>
                  <w:tcW w:w="446"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443,88</w:t>
                  </w: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121058,18</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Cs/>
                      <w:color w:val="000000"/>
                      <w:sz w:val="20"/>
                      <w:szCs w:val="20"/>
                    </w:rPr>
                  </w:pPr>
                  <w:r w:rsidRPr="00ED1FCB">
                    <w:rPr>
                      <w:bCs/>
                      <w:color w:val="000000"/>
                      <w:sz w:val="20"/>
                      <w:szCs w:val="20"/>
                    </w:rPr>
                    <w:t>133164,00</w:t>
                  </w:r>
                </w:p>
              </w:tc>
            </w:tr>
            <w:tr w:rsidR="00ED1FCB" w:rsidTr="00ED1FCB">
              <w:tc>
                <w:tcPr>
                  <w:tcW w:w="591" w:type="pct"/>
                </w:tcPr>
                <w:p w:rsidR="00ED1FCB" w:rsidRPr="000B56D3" w:rsidRDefault="00ED1FCB" w:rsidP="00ED1FCB">
                  <w:pPr>
                    <w:ind w:left="-108"/>
                    <w:rPr>
                      <w:b/>
                      <w:sz w:val="20"/>
                      <w:szCs w:val="20"/>
                    </w:rPr>
                  </w:pPr>
                  <w:r w:rsidRPr="000B56D3">
                    <w:rPr>
                      <w:b/>
                      <w:sz w:val="20"/>
                      <w:szCs w:val="20"/>
                    </w:rPr>
                    <w:t>ИТОГО начальная (максимальная) цена</w:t>
                  </w:r>
                </w:p>
              </w:tc>
              <w:tc>
                <w:tcPr>
                  <w:tcW w:w="1781" w:type="pct"/>
                </w:tcPr>
                <w:p w:rsidR="00ED1FCB" w:rsidRPr="00ED1FCB" w:rsidRDefault="00ED1FCB" w:rsidP="00ED1FCB">
                  <w:pPr>
                    <w:spacing w:after="200"/>
                    <w:jc w:val="center"/>
                    <w:rPr>
                      <w:sz w:val="20"/>
                      <w:szCs w:val="20"/>
                      <w:lang w:eastAsia="en-US"/>
                    </w:rPr>
                  </w:pPr>
                </w:p>
              </w:tc>
              <w:tc>
                <w:tcPr>
                  <w:tcW w:w="269" w:type="pct"/>
                  <w:vAlign w:val="center"/>
                </w:tcPr>
                <w:p w:rsidR="00ED1FCB" w:rsidRPr="00ED1FCB" w:rsidRDefault="00ED1FCB" w:rsidP="00ED1FCB">
                  <w:pPr>
                    <w:spacing w:after="200"/>
                    <w:jc w:val="center"/>
                    <w:rPr>
                      <w:sz w:val="20"/>
                      <w:szCs w:val="20"/>
                      <w:lang w:eastAsia="en-US"/>
                    </w:rPr>
                  </w:pPr>
                  <w:r w:rsidRPr="00ED1FCB">
                    <w:rPr>
                      <w:sz w:val="20"/>
                      <w:szCs w:val="20"/>
                      <w:lang w:eastAsia="en-US"/>
                    </w:rPr>
                    <w:t>кг</w:t>
                  </w:r>
                </w:p>
              </w:tc>
              <w:tc>
                <w:tcPr>
                  <w:tcW w:w="312"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
                      <w:bCs/>
                      <w:color w:val="000000"/>
                      <w:sz w:val="20"/>
                      <w:szCs w:val="20"/>
                    </w:rPr>
                  </w:pPr>
                  <w:r w:rsidRPr="00ED1FCB">
                    <w:rPr>
                      <w:b/>
                      <w:bCs/>
                      <w:color w:val="000000"/>
                      <w:sz w:val="20"/>
                      <w:szCs w:val="20"/>
                    </w:rPr>
                    <w:t>12500</w:t>
                  </w:r>
                </w:p>
              </w:tc>
              <w:tc>
                <w:tcPr>
                  <w:tcW w:w="446" w:type="pct"/>
                  <w:tcBorders>
                    <w:top w:val="nil"/>
                    <w:left w:val="single" w:sz="4" w:space="0" w:color="auto"/>
                    <w:bottom w:val="single" w:sz="4" w:space="0" w:color="auto"/>
                    <w:right w:val="single" w:sz="4" w:space="0" w:color="auto"/>
                  </w:tcBorders>
                  <w:shd w:val="clear" w:color="000000" w:fill="FFFFFF"/>
                  <w:vAlign w:val="center"/>
                </w:tcPr>
                <w:p w:rsidR="00ED1FCB" w:rsidRPr="00ED1FCB" w:rsidRDefault="00ED1FCB" w:rsidP="00ED1FCB">
                  <w:pPr>
                    <w:jc w:val="center"/>
                    <w:rPr>
                      <w:sz w:val="20"/>
                      <w:szCs w:val="20"/>
                    </w:rPr>
                  </w:pPr>
                </w:p>
              </w:tc>
              <w:tc>
                <w:tcPr>
                  <w:tcW w:w="446" w:type="pct"/>
                  <w:vAlign w:val="center"/>
                </w:tcPr>
                <w:p w:rsidR="00ED1FCB" w:rsidRPr="00ED1FCB" w:rsidRDefault="00ED1FCB" w:rsidP="00ED1FCB">
                  <w:pPr>
                    <w:jc w:val="center"/>
                    <w:rPr>
                      <w:sz w:val="20"/>
                      <w:szCs w:val="20"/>
                    </w:rPr>
                  </w:pPr>
                </w:p>
              </w:tc>
              <w:tc>
                <w:tcPr>
                  <w:tcW w:w="535" w:type="pct"/>
                  <w:tcBorders>
                    <w:top w:val="nil"/>
                    <w:left w:val="single" w:sz="4" w:space="0" w:color="auto"/>
                    <w:bottom w:val="single" w:sz="4" w:space="0" w:color="auto"/>
                    <w:right w:val="single" w:sz="4" w:space="0" w:color="auto"/>
                  </w:tcBorders>
                  <w:shd w:val="clear" w:color="auto" w:fill="auto"/>
                  <w:vAlign w:val="center"/>
                </w:tcPr>
                <w:p w:rsidR="00ED1FCB" w:rsidRPr="00ED1FCB" w:rsidRDefault="00ED1FCB" w:rsidP="00ED1FCB">
                  <w:pPr>
                    <w:jc w:val="center"/>
                    <w:rPr>
                      <w:b/>
                      <w:bCs/>
                      <w:color w:val="000000"/>
                      <w:sz w:val="20"/>
                      <w:szCs w:val="20"/>
                    </w:rPr>
                  </w:pPr>
                  <w:r w:rsidRPr="00ED1FCB">
                    <w:rPr>
                      <w:b/>
                      <w:bCs/>
                      <w:color w:val="000000"/>
                      <w:sz w:val="20"/>
                      <w:szCs w:val="20"/>
                    </w:rPr>
                    <w:t>3</w:t>
                  </w:r>
                  <w:r>
                    <w:rPr>
                      <w:b/>
                      <w:bCs/>
                      <w:color w:val="000000"/>
                      <w:sz w:val="20"/>
                      <w:szCs w:val="20"/>
                    </w:rPr>
                    <w:t> </w:t>
                  </w:r>
                  <w:r w:rsidRPr="00ED1FCB">
                    <w:rPr>
                      <w:b/>
                      <w:bCs/>
                      <w:color w:val="000000"/>
                      <w:sz w:val="20"/>
                      <w:szCs w:val="20"/>
                    </w:rPr>
                    <w:t>154</w:t>
                  </w:r>
                  <w:r>
                    <w:rPr>
                      <w:b/>
                      <w:bCs/>
                      <w:color w:val="000000"/>
                      <w:sz w:val="20"/>
                      <w:szCs w:val="20"/>
                    </w:rPr>
                    <w:t xml:space="preserve"> </w:t>
                  </w:r>
                  <w:r w:rsidRPr="00ED1FCB">
                    <w:rPr>
                      <w:b/>
                      <w:bCs/>
                      <w:color w:val="000000"/>
                      <w:sz w:val="20"/>
                      <w:szCs w:val="20"/>
                    </w:rPr>
                    <w:t>581,82</w:t>
                  </w:r>
                </w:p>
              </w:tc>
              <w:tc>
                <w:tcPr>
                  <w:tcW w:w="619" w:type="pct"/>
                  <w:tcBorders>
                    <w:top w:val="nil"/>
                    <w:left w:val="nil"/>
                    <w:bottom w:val="single" w:sz="4" w:space="0" w:color="auto"/>
                    <w:right w:val="single" w:sz="4" w:space="0" w:color="auto"/>
                  </w:tcBorders>
                  <w:shd w:val="clear" w:color="auto" w:fill="auto"/>
                  <w:vAlign w:val="center"/>
                </w:tcPr>
                <w:p w:rsidR="00ED1FCB" w:rsidRPr="00ED1FCB" w:rsidRDefault="00ED1FCB" w:rsidP="00ED1FCB">
                  <w:pPr>
                    <w:jc w:val="center"/>
                    <w:rPr>
                      <w:b/>
                      <w:bCs/>
                      <w:color w:val="000000"/>
                      <w:sz w:val="20"/>
                      <w:szCs w:val="20"/>
                    </w:rPr>
                  </w:pPr>
                  <w:r w:rsidRPr="00ED1FCB">
                    <w:rPr>
                      <w:b/>
                      <w:bCs/>
                      <w:color w:val="000000"/>
                      <w:sz w:val="20"/>
                      <w:szCs w:val="20"/>
                    </w:rPr>
                    <w:t>3</w:t>
                  </w:r>
                  <w:r>
                    <w:rPr>
                      <w:b/>
                      <w:bCs/>
                      <w:color w:val="000000"/>
                      <w:sz w:val="20"/>
                      <w:szCs w:val="20"/>
                    </w:rPr>
                    <w:t> </w:t>
                  </w:r>
                  <w:r w:rsidRPr="00ED1FCB">
                    <w:rPr>
                      <w:b/>
                      <w:bCs/>
                      <w:color w:val="000000"/>
                      <w:sz w:val="20"/>
                      <w:szCs w:val="20"/>
                    </w:rPr>
                    <w:t>470</w:t>
                  </w:r>
                  <w:r>
                    <w:rPr>
                      <w:b/>
                      <w:bCs/>
                      <w:color w:val="000000"/>
                      <w:sz w:val="20"/>
                      <w:szCs w:val="20"/>
                    </w:rPr>
                    <w:t xml:space="preserve"> </w:t>
                  </w:r>
                  <w:r w:rsidRPr="00ED1FCB">
                    <w:rPr>
                      <w:b/>
                      <w:bCs/>
                      <w:color w:val="000000"/>
                      <w:sz w:val="20"/>
                      <w:szCs w:val="20"/>
                    </w:rPr>
                    <w:t>040,00</w:t>
                  </w:r>
                </w:p>
              </w:tc>
            </w:tr>
          </w:tbl>
          <w:p w:rsidR="00ED1FCB" w:rsidRPr="008F0789" w:rsidRDefault="00ED1FCB"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ED1FCB" w:rsidRPr="007B49E8" w:rsidRDefault="00ED1FCB" w:rsidP="00ED1FCB">
            <w:pPr>
              <w:contextualSpacing/>
            </w:pPr>
            <w:r w:rsidRPr="007B49E8">
              <w:t xml:space="preserve">-  </w:t>
            </w:r>
            <w:r w:rsidRPr="007B49E8">
              <w:rPr>
                <w:b/>
              </w:rPr>
              <w:t>3 154 581,82</w:t>
            </w:r>
            <w:r w:rsidRPr="007B49E8">
              <w:t xml:space="preserve"> (три миллиона сто пятьдесят четыре тысячи пятьсот восемьдесят один) рублей 82 копеек без учета НДС, </w:t>
            </w:r>
          </w:p>
          <w:p w:rsidR="00A01A54" w:rsidRPr="00BF0DA0" w:rsidRDefault="00ED1FCB" w:rsidP="00ED1FCB">
            <w:pPr>
              <w:spacing w:after="150"/>
              <w:contextualSpacing/>
              <w:rPr>
                <w:b/>
              </w:rPr>
            </w:pPr>
            <w:r w:rsidRPr="007B49E8">
              <w:t xml:space="preserve">- </w:t>
            </w:r>
            <w:r w:rsidRPr="007B49E8">
              <w:rPr>
                <w:b/>
              </w:rPr>
              <w:t>3 470 040,00</w:t>
            </w:r>
            <w:r w:rsidRPr="007B49E8">
              <w:t xml:space="preserve"> (три миллиона четыреста семьдесят тысяч сорок) рублей 00 копеек с учетом НДС 10 %</w:t>
            </w:r>
            <w:r w:rsidR="00A308A1" w:rsidRPr="008161AC">
              <w:rPr>
                <w:bCs/>
              </w:rPr>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A308A1" w:rsidRPr="008F0789" w:rsidRDefault="00BF0DA0" w:rsidP="00BF0DA0">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483FFB" w:rsidP="00483FFB">
            <w:pPr>
              <w:contextualSpacing/>
            </w:pPr>
            <w:r>
              <w:rPr>
                <w:b/>
                <w:bCs/>
              </w:rPr>
              <w:t>К</w:t>
            </w:r>
            <w:r w:rsidRPr="00483FFB">
              <w:rPr>
                <w:b/>
                <w:bCs/>
              </w:rPr>
              <w:t>олбасны</w:t>
            </w:r>
            <w:r>
              <w:rPr>
                <w:b/>
                <w:bCs/>
              </w:rPr>
              <w:t>е изделия</w:t>
            </w:r>
            <w:bookmarkStart w:id="2" w:name="_GoBack"/>
            <w:bookmarkEnd w:id="2"/>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lastRenderedPageBreak/>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 xml:space="preserve">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w:t>
            </w:r>
            <w:r w:rsidRPr="008F0789">
              <w:rPr>
                <w:bCs/>
              </w:rPr>
              <w:lastRenderedPageBreak/>
              <w:t>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E729E7">
        <w:tc>
          <w:tcPr>
            <w:tcW w:w="992" w:type="pct"/>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r w:rsidRPr="008F0789">
              <w:rPr>
                <w:bCs/>
              </w:rPr>
              <w:t>Сведения о возможности предоставить эквивалентные товары. Параметры эквивалентности</w:t>
            </w:r>
          </w:p>
        </w:tc>
        <w:tc>
          <w:tcPr>
            <w:tcW w:w="3009" w:type="pct"/>
            <w:gridSpan w:val="2"/>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E729E7">
        <w:tc>
          <w:tcPr>
            <w:tcW w:w="5000" w:type="pct"/>
            <w:gridSpan w:val="4"/>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E729E7">
        <w:tc>
          <w:tcPr>
            <w:tcW w:w="5000" w:type="pct"/>
            <w:gridSpan w:val="4"/>
          </w:tcPr>
          <w:p w:rsidR="00E729E7"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p w:rsidR="00AA6B7D" w:rsidRPr="008F0789" w:rsidRDefault="00AA6B7D" w:rsidP="00E729E7">
            <w:pPr>
              <w:contextualSpacing/>
              <w:jc w:val="both"/>
              <w:rPr>
                <w:b/>
              </w:rPr>
            </w:pP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ED1FCB" w:rsidRPr="002C3240" w:rsidRDefault="00ED1FCB" w:rsidP="00ED1FCB">
            <w:r w:rsidRPr="002C3240">
              <w:t>1.Производствен</w:t>
            </w:r>
            <w:r>
              <w:t>но - складская база Борзинского участка</w:t>
            </w:r>
            <w:r w:rsidRPr="002C3240">
              <w:t xml:space="preserve"> Читинского филиала АО «ЖТК»</w:t>
            </w:r>
          </w:p>
          <w:p w:rsidR="00ED1FCB" w:rsidRDefault="00ED1FCB" w:rsidP="00ED1FCB">
            <w:r>
              <w:t>2. Столовая ДОЛБ ст. Борзя ул. Рабочая,2</w:t>
            </w:r>
          </w:p>
          <w:p w:rsidR="00ED1FCB" w:rsidRDefault="00ED1FCB" w:rsidP="00ED1FCB">
            <w:r>
              <w:t>3 Производственно - складская база Читинского филиала АО «ЖТК»</w:t>
            </w:r>
          </w:p>
          <w:p w:rsidR="00ED1FCB" w:rsidRDefault="00ED1FCB" w:rsidP="00ED1FCB">
            <w:r>
              <w:t>672040 г. Чита, ул.Газимурская,5стр1.</w:t>
            </w:r>
          </w:p>
          <w:p w:rsidR="0078390A" w:rsidRPr="004D3A96" w:rsidRDefault="00ED1FCB" w:rsidP="00ED1FCB">
            <w:r>
              <w:t>4.Столовая ДОЛБ Чита ул. Деповская,1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w:t>
            </w:r>
            <w:r w:rsidRPr="008F0789">
              <w:lastRenderedPageBreak/>
              <w:t>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0E51C7">
            <w:pPr>
              <w:contextualSpacing/>
              <w:jc w:val="both"/>
            </w:pPr>
            <w:r w:rsidRPr="008F0789">
              <w:t>с момента заключения договора по 3</w:t>
            </w:r>
            <w:r>
              <w:t>1</w:t>
            </w:r>
            <w:r w:rsidRPr="008F0789">
              <w:t>.</w:t>
            </w:r>
            <w:r>
              <w:t>12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ED1FCB" w:rsidRPr="00ED1FCB">
        <w:rPr>
          <w:b/>
          <w:bCs/>
        </w:rPr>
        <w:t>колбасны</w:t>
      </w:r>
      <w:r w:rsidR="00ED1FCB">
        <w:rPr>
          <w:b/>
          <w:bCs/>
        </w:rPr>
        <w:t>е</w:t>
      </w:r>
      <w:r w:rsidR="00ED1FCB" w:rsidRPr="00ED1FCB">
        <w:rPr>
          <w:b/>
          <w:bCs/>
        </w:rPr>
        <w:t xml:space="preserve"> издели</w:t>
      </w:r>
      <w:r w:rsidR="00ED1FCB">
        <w:rPr>
          <w:b/>
          <w:bCs/>
        </w:rPr>
        <w:t>я</w:t>
      </w:r>
      <w:r w:rsidR="00ED1FCB" w:rsidRPr="00ED1FCB">
        <w:rPr>
          <w:b/>
          <w:bCs/>
        </w:rPr>
        <w:t xml:space="preserve"> для предприятий общественного питания Борзинского участка, оказывающих услуги питания работникам ОАО "РЖД"</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A308A1">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ED1FCB" w:rsidRDefault="00ED1FCB" w:rsidP="00ED1FCB">
      <w:pPr>
        <w:pStyle w:val="a4"/>
        <w:numPr>
          <w:ilvl w:val="0"/>
          <w:numId w:val="26"/>
        </w:numPr>
      </w:pPr>
      <w:r>
        <w:t>Производственно - складская база Борзинского участка Читинского филиала АО «ЖТК»</w:t>
      </w:r>
    </w:p>
    <w:p w:rsidR="00ED1FCB" w:rsidRDefault="00ED1FCB" w:rsidP="00ED1FCB">
      <w:pPr>
        <w:pStyle w:val="a4"/>
        <w:numPr>
          <w:ilvl w:val="0"/>
          <w:numId w:val="26"/>
        </w:numPr>
      </w:pPr>
      <w:r>
        <w:t>Столовая ДОЛБ ст. Борзя ул. Рабочая,2</w:t>
      </w:r>
    </w:p>
    <w:p w:rsidR="00ED1FCB" w:rsidRDefault="00ED1FCB" w:rsidP="00823406">
      <w:pPr>
        <w:pStyle w:val="a4"/>
        <w:numPr>
          <w:ilvl w:val="0"/>
          <w:numId w:val="26"/>
        </w:numPr>
      </w:pPr>
      <w:r>
        <w:t>Производственно - складская база Читинского филиала АО «ЖТК» 672040 г. Чита, ул.Газимурская,5стр1.</w:t>
      </w:r>
    </w:p>
    <w:p w:rsidR="00557C4C" w:rsidRDefault="00ED1FCB" w:rsidP="00ED1FCB">
      <w:pPr>
        <w:pStyle w:val="a4"/>
        <w:numPr>
          <w:ilvl w:val="0"/>
          <w:numId w:val="26"/>
        </w:numPr>
      </w:pPr>
      <w:r>
        <w:t>Столовая ДОЛБ Чита ул. Деповская,1</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57C4C">
        <w:t>0</w:t>
      </w:r>
      <w:r w:rsidR="00ED1FCB">
        <w:t>2</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8F0789">
        <w:lastRenderedPageBreak/>
        <w:t>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443D6D" w:rsidRPr="008F0789">
        <w:t>3</w:t>
      </w:r>
      <w:r w:rsidR="0024355A">
        <w:t>1</w:t>
      </w:r>
      <w:r w:rsidR="00443D6D" w:rsidRPr="008F0789">
        <w:t>.</w:t>
      </w:r>
      <w:r w:rsidR="0024355A">
        <w:t>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Pr="008F0789" w:rsidRDefault="00ED1FCB" w:rsidP="003C7F2F">
      <w:pPr>
        <w:jc w:val="right"/>
      </w:pPr>
    </w:p>
    <w:p w:rsidR="00692804" w:rsidRPr="008F0789" w:rsidRDefault="00692804" w:rsidP="003C7F2F">
      <w:pPr>
        <w:jc w:val="right"/>
      </w:pPr>
    </w:p>
    <w:p w:rsidR="00692804" w:rsidRPr="008F0789" w:rsidRDefault="00692804"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2019г.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________________2019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№_______ от «_____» ________ 2019г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 xml:space="preserve">г. Чита                                                                                               «___» ________  2019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0</w:t>
      </w:r>
      <w:r w:rsidR="00ED1FCB">
        <w:rPr>
          <w:rFonts w:ascii="Times New Roman" w:hAnsi="Times New Roman" w:cs="Times New Roman"/>
          <w:i w:val="0"/>
          <w:sz w:val="24"/>
          <w:szCs w:val="24"/>
        </w:rPr>
        <w:t>2</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ED1FCB" w:rsidRPr="00416475">
        <w:rPr>
          <w:b/>
          <w:bCs/>
          <w:sz w:val="24"/>
          <w:szCs w:val="24"/>
        </w:rPr>
        <w:t>ЗКТ-</w:t>
      </w:r>
      <w:r w:rsidR="00ED1FCB">
        <w:rPr>
          <w:b/>
          <w:bCs/>
          <w:sz w:val="24"/>
          <w:szCs w:val="24"/>
        </w:rPr>
        <w:t>02</w:t>
      </w:r>
      <w:r w:rsidR="00ED1FCB" w:rsidRPr="00416475">
        <w:rPr>
          <w:b/>
          <w:bCs/>
          <w:sz w:val="24"/>
          <w:szCs w:val="24"/>
        </w:rPr>
        <w:t>/</w:t>
      </w:r>
      <w:r w:rsidR="00ED1FCB">
        <w:rPr>
          <w:b/>
          <w:bCs/>
          <w:sz w:val="24"/>
          <w:szCs w:val="24"/>
        </w:rPr>
        <w:t>20</w:t>
      </w:r>
      <w:r w:rsidR="00ED1FCB" w:rsidRPr="00416475">
        <w:rPr>
          <w:b/>
          <w:bCs/>
          <w:sz w:val="24"/>
          <w:szCs w:val="24"/>
        </w:rPr>
        <w:t xml:space="preserve"> на право заключения договора поставки </w:t>
      </w:r>
      <w:r w:rsidR="00ED1FCB" w:rsidRPr="007B49E8">
        <w:rPr>
          <w:b/>
          <w:bCs/>
          <w:sz w:val="24"/>
          <w:szCs w:val="24"/>
        </w:rPr>
        <w:t>колбасных изделий для предприятий общественного питания Борзинского участка, оказывающих услуги питания работникам ОАО "РЖД"</w:t>
      </w:r>
      <w:r w:rsidR="00557C4C">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7671DA">
              <w:rPr>
                <w:sz w:val="24"/>
              </w:rPr>
            </w:r>
            <w:r w:rsidR="007671DA">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7671DA">
              <w:rPr>
                <w:sz w:val="24"/>
              </w:rPr>
            </w:r>
            <w:r w:rsidR="007671DA">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7671DA">
              <w:rPr>
                <w:sz w:val="24"/>
              </w:rPr>
            </w:r>
            <w:r w:rsidR="007671DA">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7671DA">
              <w:rPr>
                <w:sz w:val="24"/>
              </w:rPr>
            </w:r>
            <w:r w:rsidR="007671DA">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7671DA">
              <w:rPr>
                <w:sz w:val="24"/>
              </w:rPr>
            </w:r>
            <w:r w:rsidR="007671DA">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7671DA">
              <w:rPr>
                <w:sz w:val="24"/>
              </w:rPr>
            </w:r>
            <w:r w:rsidR="007671DA">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ED1FCB" w:rsidRPr="00416475">
        <w:rPr>
          <w:b/>
          <w:bCs/>
          <w:sz w:val="24"/>
          <w:szCs w:val="24"/>
        </w:rPr>
        <w:t>ЗКТ-</w:t>
      </w:r>
      <w:r w:rsidR="00ED1FCB">
        <w:rPr>
          <w:b/>
          <w:bCs/>
          <w:sz w:val="24"/>
          <w:szCs w:val="24"/>
        </w:rPr>
        <w:t>02</w:t>
      </w:r>
      <w:r w:rsidR="00ED1FCB" w:rsidRPr="00416475">
        <w:rPr>
          <w:b/>
          <w:bCs/>
          <w:sz w:val="24"/>
          <w:szCs w:val="24"/>
        </w:rPr>
        <w:t>/</w:t>
      </w:r>
      <w:r w:rsidR="00ED1FCB">
        <w:rPr>
          <w:b/>
          <w:bCs/>
          <w:sz w:val="24"/>
          <w:szCs w:val="24"/>
        </w:rPr>
        <w:t>20</w:t>
      </w:r>
      <w:r w:rsidR="00ED1FCB" w:rsidRPr="00416475">
        <w:rPr>
          <w:b/>
          <w:bCs/>
          <w:sz w:val="24"/>
          <w:szCs w:val="24"/>
        </w:rPr>
        <w:t xml:space="preserve"> на право заключения договора поставки </w:t>
      </w:r>
      <w:r w:rsidR="00ED1FCB" w:rsidRPr="007B49E8">
        <w:rPr>
          <w:b/>
          <w:bCs/>
          <w:sz w:val="24"/>
          <w:szCs w:val="24"/>
        </w:rPr>
        <w:t>колбасных изделий для предприятий общественного питания Борзинского участка,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 г</w:t>
            </w:r>
            <w:r w:rsidRPr="008F0789">
              <w:rPr>
                <w:bCs/>
              </w:rPr>
              <w:t>.</w:t>
            </w:r>
          </w:p>
          <w:p w:rsidR="00D63907" w:rsidRPr="008F0789" w:rsidRDefault="001A782D" w:rsidP="009F38CE">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57C4C">
              <w:rPr>
                <w:b/>
              </w:rPr>
              <w:t>10</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10</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11</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r w:rsidRPr="008F0789">
              <w:rPr>
                <w:bCs/>
              </w:rPr>
              <w:t xml:space="preserve"> по </w:t>
            </w:r>
            <w:r w:rsidR="00557C4C" w:rsidRPr="00416475">
              <w:rPr>
                <w:b/>
              </w:rPr>
              <w:t>«</w:t>
            </w:r>
            <w:r w:rsidR="00557C4C">
              <w:rPr>
                <w:b/>
              </w:rPr>
              <w:t>05</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557C4C">
              <w:rPr>
                <w:b/>
              </w:rPr>
              <w:t>07</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1DA" w:rsidRDefault="007671DA" w:rsidP="00D63907">
      <w:r>
        <w:separator/>
      </w:r>
    </w:p>
  </w:endnote>
  <w:endnote w:type="continuationSeparator" w:id="0">
    <w:p w:rsidR="007671DA" w:rsidRDefault="007671DA"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483FFB">
      <w:rPr>
        <w:noProof/>
        <w:sz w:val="18"/>
        <w:szCs w:val="18"/>
      </w:rPr>
      <w:t>19</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483FFB">
      <w:rPr>
        <w:noProof/>
        <w:sz w:val="18"/>
        <w:szCs w:val="18"/>
      </w:rPr>
      <w:t>9</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1DA" w:rsidRDefault="007671DA" w:rsidP="00D63907">
      <w:r>
        <w:separator/>
      </w:r>
    </w:p>
  </w:footnote>
  <w:footnote w:type="continuationSeparator" w:id="0">
    <w:p w:rsidR="007671DA" w:rsidRDefault="007671DA"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81B"/>
    <w:rsid w:val="00104066"/>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528E"/>
    <w:rsid w:val="0028000A"/>
    <w:rsid w:val="00291305"/>
    <w:rsid w:val="00296EA8"/>
    <w:rsid w:val="002B36A7"/>
    <w:rsid w:val="002B53A3"/>
    <w:rsid w:val="002B6D90"/>
    <w:rsid w:val="002C3E11"/>
    <w:rsid w:val="002C471B"/>
    <w:rsid w:val="002D0BCB"/>
    <w:rsid w:val="002D4837"/>
    <w:rsid w:val="002E07A1"/>
    <w:rsid w:val="002E4DBE"/>
    <w:rsid w:val="002F67B1"/>
    <w:rsid w:val="00312E9D"/>
    <w:rsid w:val="0033097C"/>
    <w:rsid w:val="003369BB"/>
    <w:rsid w:val="003369C0"/>
    <w:rsid w:val="003379C7"/>
    <w:rsid w:val="0034639E"/>
    <w:rsid w:val="00347E68"/>
    <w:rsid w:val="00350F90"/>
    <w:rsid w:val="00354496"/>
    <w:rsid w:val="00360574"/>
    <w:rsid w:val="00361D2B"/>
    <w:rsid w:val="0036526D"/>
    <w:rsid w:val="00376FD1"/>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3FFB"/>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700914"/>
    <w:rsid w:val="00705FBC"/>
    <w:rsid w:val="00706724"/>
    <w:rsid w:val="00711731"/>
    <w:rsid w:val="0071373A"/>
    <w:rsid w:val="0074183B"/>
    <w:rsid w:val="00743963"/>
    <w:rsid w:val="00743A7E"/>
    <w:rsid w:val="00743BFF"/>
    <w:rsid w:val="0075292F"/>
    <w:rsid w:val="00752FEA"/>
    <w:rsid w:val="007671D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41944"/>
    <w:rsid w:val="00A57B25"/>
    <w:rsid w:val="00A739FE"/>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15335"/>
    <w:rsid w:val="00D24FED"/>
    <w:rsid w:val="00D34D18"/>
    <w:rsid w:val="00D40D77"/>
    <w:rsid w:val="00D4715C"/>
    <w:rsid w:val="00D50A3D"/>
    <w:rsid w:val="00D63907"/>
    <w:rsid w:val="00D6543B"/>
    <w:rsid w:val="00D7768A"/>
    <w:rsid w:val="00D8418F"/>
    <w:rsid w:val="00D84F50"/>
    <w:rsid w:val="00D91709"/>
    <w:rsid w:val="00DA19AC"/>
    <w:rsid w:val="00DB42D5"/>
    <w:rsid w:val="00DB4CBA"/>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58FD"/>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ED4FC9A-9F82-46C0-86CA-F058CC1C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61</Pages>
  <Words>23715</Words>
  <Characters>135176</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66</cp:revision>
  <cp:lastPrinted>2019-11-06T09:14:00Z</cp:lastPrinted>
  <dcterms:created xsi:type="dcterms:W3CDTF">2019-09-26T05:55:00Z</dcterms:created>
  <dcterms:modified xsi:type="dcterms:W3CDTF">2020-01-30T23:10:00Z</dcterms:modified>
</cp:coreProperties>
</file>