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B31586" w:rsidRPr="00416475">
        <w:rPr>
          <w:b/>
          <w:bCs/>
        </w:rPr>
        <w:t>ЗКТ-</w:t>
      </w:r>
      <w:r w:rsidR="00B31586">
        <w:rPr>
          <w:b/>
          <w:bCs/>
        </w:rPr>
        <w:t>21</w:t>
      </w:r>
      <w:r w:rsidR="00B31586" w:rsidRPr="00416475">
        <w:rPr>
          <w:b/>
          <w:bCs/>
        </w:rPr>
        <w:t>/</w:t>
      </w:r>
      <w:r w:rsidR="00B31586">
        <w:rPr>
          <w:b/>
          <w:bCs/>
        </w:rPr>
        <w:t>20</w:t>
      </w:r>
      <w:r w:rsidR="00B31586" w:rsidRPr="00416475">
        <w:rPr>
          <w:b/>
          <w:bCs/>
        </w:rPr>
        <w:t xml:space="preserve"> на право заключения договора поставки </w:t>
      </w:r>
      <w:r w:rsidR="00B31586" w:rsidRPr="009E2990">
        <w:rPr>
          <w:b/>
          <w:bCs/>
        </w:rPr>
        <w:t>колбасных изделий для предприятий общественного питания Шилкинского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B31586">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215326">
              <w:rPr>
                <w:b/>
                <w:bCs/>
              </w:rPr>
              <w:t>2</w:t>
            </w:r>
            <w:r w:rsidR="00B31586">
              <w:rPr>
                <w:b/>
                <w:bCs/>
              </w:rPr>
              <w:t>1</w:t>
            </w:r>
            <w:r w:rsidR="00215326">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B31586" w:rsidRPr="009E2990">
              <w:rPr>
                <w:b/>
                <w:bCs/>
                <w:sz w:val="24"/>
                <w:szCs w:val="24"/>
              </w:rPr>
              <w:t>колбасных изделий для предприятий общественного питания Шилкинского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667897">
            <w:pPr>
              <w:pStyle w:val="a4"/>
              <w:ind w:left="1065"/>
              <w:contextualSpacing/>
              <w:jc w:val="both"/>
              <w:rPr>
                <w:b/>
              </w:rPr>
            </w:pPr>
          </w:p>
          <w:tbl>
            <w:tblPr>
              <w:tblW w:w="16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5971"/>
              <w:gridCol w:w="872"/>
              <w:gridCol w:w="1105"/>
              <w:gridCol w:w="944"/>
              <w:gridCol w:w="1085"/>
              <w:gridCol w:w="1105"/>
              <w:gridCol w:w="1669"/>
              <w:gridCol w:w="1663"/>
            </w:tblGrid>
            <w:tr w:rsidR="00B31586" w:rsidRPr="00E946AC" w:rsidTr="00B31586">
              <w:trPr>
                <w:trHeight w:val="1368"/>
                <w:jc w:val="center"/>
              </w:trPr>
              <w:tc>
                <w:tcPr>
                  <w:tcW w:w="604" w:type="pct"/>
                </w:tcPr>
                <w:p w:rsidR="00B31586" w:rsidRPr="00E946AC" w:rsidRDefault="00B31586" w:rsidP="00B31586">
                  <w:pPr>
                    <w:jc w:val="center"/>
                    <w:rPr>
                      <w:b/>
                      <w:sz w:val="20"/>
                      <w:szCs w:val="20"/>
                    </w:rPr>
                  </w:pPr>
                  <w:r>
                    <w:rPr>
                      <w:b/>
                      <w:sz w:val="20"/>
                      <w:szCs w:val="20"/>
                    </w:rPr>
                    <w:t>Наименование товара</w:t>
                  </w:r>
                </w:p>
              </w:tc>
              <w:tc>
                <w:tcPr>
                  <w:tcW w:w="1821" w:type="pct"/>
                </w:tcPr>
                <w:p w:rsidR="00B31586" w:rsidRPr="00B31586" w:rsidRDefault="00B31586" w:rsidP="00B31586">
                  <w:pPr>
                    <w:jc w:val="center"/>
                    <w:rPr>
                      <w:b/>
                      <w:sz w:val="20"/>
                      <w:szCs w:val="20"/>
                    </w:rPr>
                  </w:pPr>
                  <w:r>
                    <w:rPr>
                      <w:b/>
                      <w:sz w:val="20"/>
                      <w:szCs w:val="20"/>
                    </w:rPr>
                    <w:t>Характеристики товара</w:t>
                  </w:r>
                </w:p>
              </w:tc>
              <w:tc>
                <w:tcPr>
                  <w:tcW w:w="266" w:type="pct"/>
                  <w:vAlign w:val="center"/>
                </w:tcPr>
                <w:p w:rsidR="00B31586" w:rsidRPr="00B31586" w:rsidRDefault="00B31586" w:rsidP="00B31586">
                  <w:pPr>
                    <w:jc w:val="center"/>
                    <w:rPr>
                      <w:b/>
                      <w:sz w:val="20"/>
                      <w:szCs w:val="20"/>
                    </w:rPr>
                  </w:pPr>
                  <w:r w:rsidRPr="00B31586">
                    <w:rPr>
                      <w:b/>
                      <w:sz w:val="20"/>
                      <w:szCs w:val="20"/>
                    </w:rPr>
                    <w:t>Ед. изм.</w:t>
                  </w:r>
                </w:p>
              </w:tc>
              <w:tc>
                <w:tcPr>
                  <w:tcW w:w="337" w:type="pct"/>
                  <w:vAlign w:val="center"/>
                </w:tcPr>
                <w:p w:rsidR="00B31586" w:rsidRPr="00B31586" w:rsidRDefault="00B31586" w:rsidP="00B31586">
                  <w:pPr>
                    <w:ind w:left="-108"/>
                    <w:jc w:val="center"/>
                    <w:rPr>
                      <w:b/>
                      <w:sz w:val="20"/>
                      <w:szCs w:val="20"/>
                    </w:rPr>
                  </w:pPr>
                  <w:r w:rsidRPr="00B31586">
                    <w:rPr>
                      <w:b/>
                      <w:sz w:val="20"/>
                      <w:szCs w:val="20"/>
                    </w:rPr>
                    <w:t>Количество</w:t>
                  </w:r>
                </w:p>
                <w:p w:rsidR="00B31586" w:rsidRPr="00B31586" w:rsidRDefault="00B31586" w:rsidP="00B31586">
                  <w:pPr>
                    <w:ind w:left="-108"/>
                    <w:jc w:val="center"/>
                    <w:rPr>
                      <w:b/>
                      <w:sz w:val="20"/>
                      <w:szCs w:val="20"/>
                    </w:rPr>
                  </w:pPr>
                  <w:r w:rsidRPr="00B31586">
                    <w:rPr>
                      <w:b/>
                      <w:sz w:val="20"/>
                      <w:szCs w:val="20"/>
                    </w:rPr>
                    <w:t>(объем)</w:t>
                  </w:r>
                </w:p>
              </w:tc>
              <w:tc>
                <w:tcPr>
                  <w:tcW w:w="288" w:type="pct"/>
                  <w:vAlign w:val="center"/>
                </w:tcPr>
                <w:p w:rsidR="00B31586" w:rsidRPr="00B31586" w:rsidRDefault="00B31586" w:rsidP="00B31586">
                  <w:pPr>
                    <w:jc w:val="center"/>
                    <w:rPr>
                      <w:b/>
                      <w:sz w:val="20"/>
                      <w:szCs w:val="20"/>
                    </w:rPr>
                  </w:pPr>
                  <w:r w:rsidRPr="00B31586">
                    <w:rPr>
                      <w:b/>
                      <w:sz w:val="20"/>
                      <w:szCs w:val="20"/>
                    </w:rPr>
                    <w:t>Ставка НДС, %</w:t>
                  </w:r>
                </w:p>
              </w:tc>
              <w:tc>
                <w:tcPr>
                  <w:tcW w:w="331" w:type="pct"/>
                  <w:vAlign w:val="center"/>
                </w:tcPr>
                <w:p w:rsidR="00B31586" w:rsidRPr="00B31586" w:rsidRDefault="00B31586" w:rsidP="00B31586">
                  <w:pPr>
                    <w:jc w:val="center"/>
                    <w:rPr>
                      <w:b/>
                      <w:sz w:val="20"/>
                      <w:szCs w:val="20"/>
                    </w:rPr>
                  </w:pPr>
                  <w:r w:rsidRPr="00B31586">
                    <w:rPr>
                      <w:b/>
                      <w:sz w:val="20"/>
                      <w:szCs w:val="20"/>
                    </w:rPr>
                    <w:t>Цена за единицу без учета НДС</w:t>
                  </w:r>
                </w:p>
                <w:p w:rsidR="00B31586" w:rsidRPr="00B31586" w:rsidRDefault="00B31586" w:rsidP="00B31586">
                  <w:pPr>
                    <w:jc w:val="center"/>
                    <w:rPr>
                      <w:b/>
                      <w:sz w:val="20"/>
                      <w:szCs w:val="20"/>
                    </w:rPr>
                  </w:pPr>
                </w:p>
              </w:tc>
              <w:tc>
                <w:tcPr>
                  <w:tcW w:w="337" w:type="pct"/>
                </w:tcPr>
                <w:p w:rsidR="00B31586" w:rsidRPr="00B31586" w:rsidRDefault="00B31586" w:rsidP="00B31586">
                  <w:pPr>
                    <w:jc w:val="center"/>
                    <w:rPr>
                      <w:b/>
                      <w:sz w:val="20"/>
                      <w:szCs w:val="20"/>
                    </w:rPr>
                  </w:pPr>
                  <w:r w:rsidRPr="00B31586">
                    <w:rPr>
                      <w:b/>
                      <w:sz w:val="20"/>
                      <w:szCs w:val="20"/>
                    </w:rPr>
                    <w:t xml:space="preserve">Цена за единицу </w:t>
                  </w:r>
                  <w:r>
                    <w:rPr>
                      <w:b/>
                      <w:sz w:val="20"/>
                      <w:szCs w:val="20"/>
                    </w:rPr>
                    <w:t>с</w:t>
                  </w:r>
                  <w:r w:rsidRPr="00B31586">
                    <w:rPr>
                      <w:b/>
                      <w:sz w:val="20"/>
                      <w:szCs w:val="20"/>
                    </w:rPr>
                    <w:t xml:space="preserve"> учет</w:t>
                  </w:r>
                  <w:r>
                    <w:rPr>
                      <w:b/>
                      <w:sz w:val="20"/>
                      <w:szCs w:val="20"/>
                    </w:rPr>
                    <w:t>ом</w:t>
                  </w:r>
                  <w:r w:rsidRPr="00B31586">
                    <w:rPr>
                      <w:b/>
                      <w:sz w:val="20"/>
                      <w:szCs w:val="20"/>
                    </w:rPr>
                    <w:t xml:space="preserve"> НДС</w:t>
                  </w:r>
                </w:p>
                <w:p w:rsidR="00B31586" w:rsidRPr="00B31586" w:rsidRDefault="00B31586" w:rsidP="00B31586">
                  <w:pPr>
                    <w:jc w:val="center"/>
                    <w:rPr>
                      <w:b/>
                      <w:sz w:val="20"/>
                      <w:szCs w:val="20"/>
                    </w:rPr>
                  </w:pPr>
                </w:p>
              </w:tc>
              <w:tc>
                <w:tcPr>
                  <w:tcW w:w="509" w:type="pct"/>
                  <w:vAlign w:val="center"/>
                </w:tcPr>
                <w:p w:rsidR="00B31586" w:rsidRPr="00B31586" w:rsidRDefault="00B31586" w:rsidP="00B31586">
                  <w:pPr>
                    <w:jc w:val="center"/>
                    <w:rPr>
                      <w:b/>
                      <w:sz w:val="20"/>
                      <w:szCs w:val="20"/>
                    </w:rPr>
                  </w:pPr>
                  <w:r w:rsidRPr="00B31586">
                    <w:rPr>
                      <w:b/>
                      <w:sz w:val="20"/>
                      <w:szCs w:val="20"/>
                    </w:rPr>
                    <w:t>Всего без учета НДС</w:t>
                  </w:r>
                </w:p>
              </w:tc>
              <w:tc>
                <w:tcPr>
                  <w:tcW w:w="509" w:type="pct"/>
                  <w:vAlign w:val="center"/>
                </w:tcPr>
                <w:p w:rsidR="00B31586" w:rsidRPr="00B31586" w:rsidRDefault="00B31586" w:rsidP="00B31586">
                  <w:pPr>
                    <w:jc w:val="center"/>
                    <w:rPr>
                      <w:b/>
                      <w:sz w:val="20"/>
                      <w:szCs w:val="20"/>
                    </w:rPr>
                  </w:pPr>
                  <w:r w:rsidRPr="00B31586">
                    <w:rPr>
                      <w:b/>
                      <w:sz w:val="20"/>
                      <w:szCs w:val="20"/>
                    </w:rPr>
                    <w:t>Всего с учетом НДС</w:t>
                  </w:r>
                </w:p>
              </w:tc>
            </w:tr>
            <w:tr w:rsidR="00B31586" w:rsidRPr="00992BAA" w:rsidTr="00B31586">
              <w:trPr>
                <w:trHeight w:val="423"/>
                <w:jc w:val="center"/>
              </w:trPr>
              <w:tc>
                <w:tcPr>
                  <w:tcW w:w="604" w:type="pct"/>
                  <w:tcBorders>
                    <w:top w:val="single" w:sz="4" w:space="0" w:color="auto"/>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Pr>
                      <w:color w:val="000000"/>
                      <w:sz w:val="20"/>
                      <w:szCs w:val="20"/>
                    </w:rPr>
                    <w:t>Колбаса «Деревенская» или эквивалент</w:t>
                  </w:r>
                </w:p>
              </w:tc>
              <w:tc>
                <w:tcPr>
                  <w:tcW w:w="1821" w:type="pct"/>
                </w:tcPr>
                <w:p w:rsidR="00B31586" w:rsidRPr="00B10B26" w:rsidRDefault="00B31586" w:rsidP="00B31586">
                  <w:pPr>
                    <w:contextualSpacing/>
                    <w:rPr>
                      <w:sz w:val="20"/>
                      <w:szCs w:val="20"/>
                    </w:rPr>
                  </w:pPr>
                  <w:r w:rsidRPr="00B10B26">
                    <w:rPr>
                      <w:sz w:val="20"/>
                      <w:szCs w:val="20"/>
                    </w:rPr>
                    <w:t>Колбаса вареная охлажденная. Мясной продукт категории А. Высший сорт. Упаковано в защитной газовой среде в полиамид.</w:t>
                  </w:r>
                </w:p>
                <w:p w:rsidR="00B31586" w:rsidRPr="00B10B26" w:rsidRDefault="00B31586" w:rsidP="00B31586">
                  <w:pPr>
                    <w:contextualSpacing/>
                    <w:rPr>
                      <w:sz w:val="20"/>
                      <w:szCs w:val="20"/>
                    </w:rPr>
                  </w:pPr>
                  <w:r w:rsidRPr="00B10B26">
                    <w:rPr>
                      <w:sz w:val="20"/>
                      <w:szCs w:val="20"/>
                    </w:rPr>
                    <w:t>Соответствие ТУ производителя. Упаковка в пластиковый ящик для транспортировки.</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2000</w:t>
                  </w:r>
                </w:p>
              </w:tc>
              <w:tc>
                <w:tcPr>
                  <w:tcW w:w="288" w:type="pct"/>
                  <w:vAlign w:val="center"/>
                </w:tcPr>
                <w:p w:rsidR="00B31586" w:rsidRPr="00B31586" w:rsidRDefault="00B31586" w:rsidP="00B31586">
                  <w:pPr>
                    <w:jc w:val="center"/>
                    <w:rPr>
                      <w:sz w:val="20"/>
                      <w:szCs w:val="20"/>
                    </w:rPr>
                  </w:pPr>
                  <w:r w:rsidRPr="00B31586">
                    <w:rPr>
                      <w:sz w:val="20"/>
                      <w:szCs w:val="20"/>
                    </w:rPr>
                    <w:t>10</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238,01</w:t>
                  </w:r>
                </w:p>
              </w:tc>
              <w:tc>
                <w:tcPr>
                  <w:tcW w:w="337" w:type="pct"/>
                  <w:tcBorders>
                    <w:top w:val="single" w:sz="4" w:space="0" w:color="auto"/>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261,81</w:t>
                  </w:r>
                </w:p>
              </w:tc>
              <w:tc>
                <w:tcPr>
                  <w:tcW w:w="509" w:type="pct"/>
                  <w:tcBorders>
                    <w:top w:val="single" w:sz="4" w:space="0" w:color="auto"/>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476 018,18</w:t>
                  </w:r>
                </w:p>
              </w:tc>
              <w:tc>
                <w:tcPr>
                  <w:tcW w:w="509" w:type="pct"/>
                  <w:tcBorders>
                    <w:top w:val="single" w:sz="4" w:space="0" w:color="auto"/>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523 620,00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Колба</w:t>
                  </w:r>
                  <w:r>
                    <w:rPr>
                      <w:color w:val="000000"/>
                      <w:sz w:val="20"/>
                      <w:szCs w:val="20"/>
                    </w:rPr>
                    <w:t>са «Деревенская со шпиком» или эквивалент</w:t>
                  </w:r>
                </w:p>
              </w:tc>
              <w:tc>
                <w:tcPr>
                  <w:tcW w:w="1821" w:type="pct"/>
                </w:tcPr>
                <w:p w:rsidR="00B31586" w:rsidRPr="00B10B26" w:rsidRDefault="00B31586" w:rsidP="00B31586">
                  <w:pPr>
                    <w:contextualSpacing/>
                    <w:rPr>
                      <w:sz w:val="20"/>
                      <w:szCs w:val="20"/>
                    </w:rPr>
                  </w:pPr>
                  <w:r w:rsidRPr="00B10B26">
                    <w:rPr>
                      <w:sz w:val="20"/>
                      <w:szCs w:val="20"/>
                    </w:rPr>
                    <w:t>Колбаса вареная охлажденная. Мясной продукт категории А. Высший сорт. Упаковано в защитной газовой среде в полиамид.</w:t>
                  </w:r>
                </w:p>
                <w:p w:rsidR="00B31586" w:rsidRPr="00B10B26" w:rsidRDefault="00B31586" w:rsidP="00B31586">
                  <w:pPr>
                    <w:contextualSpacing/>
                    <w:rPr>
                      <w:sz w:val="20"/>
                      <w:szCs w:val="20"/>
                    </w:rPr>
                  </w:pPr>
                  <w:r w:rsidRPr="00B10B26">
                    <w:rPr>
                      <w:sz w:val="20"/>
                      <w:szCs w:val="20"/>
                    </w:rPr>
                    <w:t>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2250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238,01</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261,81</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535 520,45</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589 072,50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 xml:space="preserve">Колбаса </w:t>
                  </w:r>
                  <w:r>
                    <w:rPr>
                      <w:color w:val="000000"/>
                      <w:sz w:val="20"/>
                      <w:szCs w:val="20"/>
                    </w:rPr>
                    <w:t>«Молочная» или эквивалент</w:t>
                  </w:r>
                </w:p>
              </w:tc>
              <w:tc>
                <w:tcPr>
                  <w:tcW w:w="1821" w:type="pct"/>
                </w:tcPr>
                <w:p w:rsidR="00B31586" w:rsidRPr="00B10B26" w:rsidRDefault="00B31586" w:rsidP="00B31586">
                  <w:pPr>
                    <w:contextualSpacing/>
                    <w:rPr>
                      <w:sz w:val="20"/>
                      <w:szCs w:val="20"/>
                    </w:rPr>
                  </w:pPr>
                  <w:r w:rsidRPr="00B10B26">
                    <w:rPr>
                      <w:sz w:val="20"/>
                      <w:szCs w:val="20"/>
                    </w:rPr>
                    <w:t>Колбаса вареная охлажденная. Мясной продукт категории А. Высший сорт. Упаковано в защитной газовой среде в полиамид.</w:t>
                  </w:r>
                </w:p>
                <w:p w:rsidR="00B31586" w:rsidRPr="00B10B26" w:rsidRDefault="00B31586" w:rsidP="00B31586">
                  <w:pPr>
                    <w:contextualSpacing/>
                    <w:rPr>
                      <w:sz w:val="20"/>
                      <w:szCs w:val="20"/>
                    </w:rPr>
                  </w:pPr>
                  <w:r w:rsidRPr="00B10B26">
                    <w:rPr>
                      <w:sz w:val="20"/>
                      <w:szCs w:val="20"/>
                    </w:rPr>
                    <w:t>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358,92</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394,81</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179 459,09</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197 405,00</w:t>
                  </w:r>
                </w:p>
              </w:tc>
            </w:tr>
            <w:tr w:rsidR="00B31586" w:rsidRPr="00992BAA" w:rsidTr="00B31586">
              <w:trPr>
                <w:trHeight w:val="363"/>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 xml:space="preserve">Сервелат </w:t>
                  </w:r>
                  <w:r>
                    <w:rPr>
                      <w:color w:val="000000"/>
                      <w:sz w:val="20"/>
                      <w:szCs w:val="20"/>
                    </w:rPr>
                    <w:t>«</w:t>
                  </w:r>
                  <w:r w:rsidRPr="00BF4166">
                    <w:rPr>
                      <w:color w:val="000000"/>
                      <w:sz w:val="20"/>
                      <w:szCs w:val="20"/>
                    </w:rPr>
                    <w:t>Кремлевс</w:t>
                  </w:r>
                  <w:r>
                    <w:rPr>
                      <w:color w:val="000000"/>
                      <w:sz w:val="20"/>
                      <w:szCs w:val="20"/>
                    </w:rPr>
                    <w:t>кий» или эквивалент</w:t>
                  </w:r>
                </w:p>
              </w:tc>
              <w:tc>
                <w:tcPr>
                  <w:tcW w:w="1821" w:type="pct"/>
                  <w:tcBorders>
                    <w:top w:val="single" w:sz="4" w:space="0" w:color="auto"/>
                    <w:left w:val="nil"/>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AA29F6">
                    <w:rPr>
                      <w:rFonts w:eastAsia="Calibri"/>
                      <w:sz w:val="20"/>
                      <w:szCs w:val="20"/>
                      <w:lang w:eastAsia="en-US"/>
                    </w:rPr>
                    <w:t>Колбаса варенокопчёная охлажденная. Мясной продукт категории А. Высший сорт. Упаковано в защитной газовой среде в полиамид. Соответствие ГОСТ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шт</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123,30</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135,63</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12 330,00</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13 563,00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 xml:space="preserve">Сервелат </w:t>
                  </w:r>
                  <w:r>
                    <w:rPr>
                      <w:color w:val="000000"/>
                      <w:sz w:val="20"/>
                      <w:szCs w:val="20"/>
                    </w:rPr>
                    <w:t>«</w:t>
                  </w:r>
                  <w:r w:rsidRPr="00BF4166">
                    <w:rPr>
                      <w:color w:val="000000"/>
                      <w:sz w:val="20"/>
                      <w:szCs w:val="20"/>
                    </w:rPr>
                    <w:t>Ярмарочный</w:t>
                  </w:r>
                  <w:r>
                    <w:rPr>
                      <w:color w:val="000000"/>
                      <w:sz w:val="20"/>
                      <w:szCs w:val="20"/>
                    </w:rPr>
                    <w:t>» или эквивалент</w:t>
                  </w:r>
                </w:p>
              </w:tc>
              <w:tc>
                <w:tcPr>
                  <w:tcW w:w="1821" w:type="pct"/>
                  <w:tcBorders>
                    <w:top w:val="single" w:sz="4" w:space="0" w:color="auto"/>
                    <w:left w:val="nil"/>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AA29F6">
                    <w:rPr>
                      <w:rFonts w:eastAsia="Calibri"/>
                      <w:sz w:val="20"/>
                      <w:szCs w:val="20"/>
                      <w:lang w:eastAsia="en-US"/>
                    </w:rPr>
                    <w:t>Колбаса варенокопчёная охлажденная. Мясной продукт категории А. Высший сорт. Упаковано в защитной газовой среде в полиамид. Соответствие ГОСТ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шт</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134,01</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147,41</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13 400,91</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14 741,00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Груди</w:t>
                  </w:r>
                  <w:r>
                    <w:rPr>
                      <w:color w:val="000000"/>
                      <w:sz w:val="20"/>
                      <w:szCs w:val="20"/>
                    </w:rPr>
                    <w:t>нка «Восточная» или эквивалент</w:t>
                  </w:r>
                </w:p>
              </w:tc>
              <w:tc>
                <w:tcPr>
                  <w:tcW w:w="1821" w:type="pct"/>
                  <w:tcBorders>
                    <w:top w:val="single" w:sz="4" w:space="0" w:color="auto"/>
                    <w:left w:val="nil"/>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F332EA">
                    <w:rPr>
                      <w:rFonts w:eastAsia="Calibri"/>
                      <w:sz w:val="20"/>
                      <w:szCs w:val="20"/>
                      <w:lang w:eastAsia="en-US"/>
                    </w:rPr>
                    <w:t>Изготовлен из мяса свинины, варено-копченая</w:t>
                  </w:r>
                  <w:r>
                    <w:rPr>
                      <w:rFonts w:eastAsia="Calibri"/>
                      <w:sz w:val="20"/>
                      <w:szCs w:val="20"/>
                      <w:lang w:eastAsia="en-US"/>
                    </w:rPr>
                    <w:t xml:space="preserve"> на шкуре</w:t>
                  </w:r>
                  <w:r w:rsidRPr="00F332EA">
                    <w:rPr>
                      <w:rFonts w:eastAsia="Calibri"/>
                      <w:sz w:val="20"/>
                      <w:szCs w:val="20"/>
                      <w:lang w:eastAsia="en-US"/>
                    </w:rPr>
                    <w:t>. Мясной продукт категории А. Высший сорт. Упакован в вакуумную упаковку.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250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510,95</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562,05</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127 738,64</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140 512,50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 xml:space="preserve">Колбаса </w:t>
                  </w:r>
                  <w:r>
                    <w:rPr>
                      <w:color w:val="000000"/>
                      <w:sz w:val="20"/>
                      <w:szCs w:val="20"/>
                    </w:rPr>
                    <w:t>«</w:t>
                  </w:r>
                  <w:r w:rsidRPr="00BF4166">
                    <w:rPr>
                      <w:color w:val="000000"/>
                      <w:sz w:val="20"/>
                      <w:szCs w:val="20"/>
                    </w:rPr>
                    <w:t>Д</w:t>
                  </w:r>
                  <w:r>
                    <w:rPr>
                      <w:color w:val="000000"/>
                      <w:sz w:val="20"/>
                      <w:szCs w:val="20"/>
                    </w:rPr>
                    <w:t>аурская» или эквивалент</w:t>
                  </w:r>
                </w:p>
              </w:tc>
              <w:tc>
                <w:tcPr>
                  <w:tcW w:w="1821" w:type="pct"/>
                  <w:tcBorders>
                    <w:top w:val="single" w:sz="4" w:space="0" w:color="auto"/>
                    <w:left w:val="single" w:sz="4" w:space="0" w:color="auto"/>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AA29F6">
                    <w:rPr>
                      <w:rFonts w:eastAsia="Calibri"/>
                      <w:sz w:val="20"/>
                      <w:szCs w:val="20"/>
                      <w:lang w:eastAsia="en-US"/>
                    </w:rPr>
                    <w:t>Колбаса полукопчёная охлажденная. Мясной продукт категории А. Высший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шт</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200,54</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220,59</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20 053,64</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22 059,00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lastRenderedPageBreak/>
                    <w:t>Колбас</w:t>
                  </w:r>
                  <w:r>
                    <w:rPr>
                      <w:color w:val="000000"/>
                      <w:sz w:val="20"/>
                      <w:szCs w:val="20"/>
                    </w:rPr>
                    <w:t>а «Казачья» или эквивалент</w:t>
                  </w:r>
                </w:p>
              </w:tc>
              <w:tc>
                <w:tcPr>
                  <w:tcW w:w="1821" w:type="pct"/>
                  <w:tcBorders>
                    <w:top w:val="single" w:sz="4" w:space="0" w:color="auto"/>
                    <w:left w:val="single" w:sz="4" w:space="0" w:color="auto"/>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AA29F6">
                    <w:rPr>
                      <w:rFonts w:eastAsia="Calibri"/>
                      <w:sz w:val="20"/>
                      <w:szCs w:val="20"/>
                      <w:lang w:eastAsia="en-US"/>
                    </w:rPr>
                    <w:t>Колбаса полукопчёная охлажденная. Мясной продукт категории А. Высший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шт</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124,85</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137,34</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37 456,36</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41 202,00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 xml:space="preserve">Колбаса </w:t>
                  </w:r>
                  <w:r>
                    <w:rPr>
                      <w:color w:val="000000"/>
                      <w:sz w:val="20"/>
                      <w:szCs w:val="20"/>
                    </w:rPr>
                    <w:t>«Краковская» или эквивалент</w:t>
                  </w:r>
                </w:p>
              </w:tc>
              <w:tc>
                <w:tcPr>
                  <w:tcW w:w="1821" w:type="pct"/>
                  <w:tcBorders>
                    <w:top w:val="single" w:sz="4" w:space="0" w:color="auto"/>
                    <w:left w:val="single" w:sz="4" w:space="0" w:color="auto"/>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AA29F6">
                    <w:rPr>
                      <w:rFonts w:eastAsia="Calibri"/>
                      <w:sz w:val="20"/>
                      <w:szCs w:val="20"/>
                      <w:lang w:eastAsia="en-US"/>
                    </w:rPr>
                    <w:t>Колбаса полукопчёная охлажденная. Мясной продукт категории А. Высший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шт</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192,95</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212,25</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57 886,36</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63 675,00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Сал</w:t>
                  </w:r>
                  <w:r>
                    <w:rPr>
                      <w:color w:val="000000"/>
                      <w:sz w:val="20"/>
                      <w:szCs w:val="20"/>
                    </w:rPr>
                    <w:t>ями «Владимирская» или эквивалент</w:t>
                  </w:r>
                </w:p>
              </w:tc>
              <w:tc>
                <w:tcPr>
                  <w:tcW w:w="1821" w:type="pct"/>
                  <w:tcBorders>
                    <w:top w:val="single" w:sz="4" w:space="0" w:color="auto"/>
                    <w:left w:val="single" w:sz="4" w:space="0" w:color="auto"/>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AA29F6">
                    <w:rPr>
                      <w:rFonts w:eastAsia="Calibri"/>
                      <w:sz w:val="20"/>
                      <w:szCs w:val="20"/>
                      <w:lang w:eastAsia="en-US"/>
                    </w:rPr>
                    <w:t>Колбаса полукопчёная охлажденная. Мясной продукт категории А. Высший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шт</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107,22</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117,94</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10 721,82</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11 794,00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Pr>
                      <w:color w:val="000000"/>
                      <w:sz w:val="20"/>
                      <w:szCs w:val="20"/>
                    </w:rPr>
                    <w:t>Сардельки «Даурские» или эквивалент</w:t>
                  </w:r>
                </w:p>
              </w:tc>
              <w:tc>
                <w:tcPr>
                  <w:tcW w:w="1821" w:type="pct"/>
                </w:tcPr>
                <w:p w:rsidR="00B31586" w:rsidRPr="00B10B26" w:rsidRDefault="00B31586" w:rsidP="00B31586">
                  <w:pPr>
                    <w:contextualSpacing/>
                    <w:rPr>
                      <w:sz w:val="20"/>
                      <w:szCs w:val="20"/>
                    </w:rPr>
                  </w:pPr>
                  <w:r w:rsidRPr="00B10B26">
                    <w:rPr>
                      <w:sz w:val="20"/>
                      <w:szCs w:val="20"/>
                    </w:rPr>
                    <w:t>Сардельки вареные охлажденные. Первый сорт. Упаковано в натуральную оболочку.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268,00</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294,80</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134 000,00</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147 400,00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Pr>
                      <w:color w:val="000000"/>
                      <w:sz w:val="20"/>
                      <w:szCs w:val="20"/>
                    </w:rPr>
                    <w:t>Сосиски «Деревенские» или эквивалент</w:t>
                  </w:r>
                </w:p>
              </w:tc>
              <w:tc>
                <w:tcPr>
                  <w:tcW w:w="1821" w:type="pct"/>
                </w:tcPr>
                <w:p w:rsidR="00B31586" w:rsidRPr="00B10B26" w:rsidRDefault="00B31586" w:rsidP="00B31586">
                  <w:pPr>
                    <w:contextualSpacing/>
                    <w:rPr>
                      <w:sz w:val="20"/>
                      <w:szCs w:val="20"/>
                    </w:rPr>
                  </w:pPr>
                  <w:r w:rsidRPr="00B10B26">
                    <w:rPr>
                      <w:sz w:val="20"/>
                      <w:szCs w:val="20"/>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159,65</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175,61</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79 822,73</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87 805,00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Pr>
                      <w:color w:val="000000"/>
                      <w:sz w:val="20"/>
                      <w:szCs w:val="20"/>
                    </w:rPr>
                    <w:t>Сосиски «Нежные» или эквивалент</w:t>
                  </w:r>
                </w:p>
              </w:tc>
              <w:tc>
                <w:tcPr>
                  <w:tcW w:w="1821" w:type="pct"/>
                </w:tcPr>
                <w:p w:rsidR="00B31586" w:rsidRPr="00B10B26" w:rsidRDefault="00B31586" w:rsidP="00B31586">
                  <w:pPr>
                    <w:contextualSpacing/>
                    <w:rPr>
                      <w:sz w:val="20"/>
                      <w:szCs w:val="20"/>
                    </w:rPr>
                  </w:pPr>
                  <w:r w:rsidRPr="00B10B26">
                    <w:rPr>
                      <w:sz w:val="20"/>
                      <w:szCs w:val="20"/>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2000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198,74</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218,61</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397 472,73</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437 220,00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Pr>
                      <w:color w:val="000000"/>
                      <w:sz w:val="20"/>
                      <w:szCs w:val="20"/>
                    </w:rPr>
                    <w:t>Сосиски «Сытные» или эквивалент</w:t>
                  </w:r>
                </w:p>
              </w:tc>
              <w:tc>
                <w:tcPr>
                  <w:tcW w:w="1821" w:type="pct"/>
                </w:tcPr>
                <w:p w:rsidR="00B31586" w:rsidRPr="00B10B26" w:rsidRDefault="00B31586" w:rsidP="00B31586">
                  <w:pPr>
                    <w:contextualSpacing/>
                    <w:rPr>
                      <w:sz w:val="20"/>
                      <w:szCs w:val="20"/>
                    </w:rPr>
                  </w:pPr>
                  <w:r w:rsidRPr="00B10B26">
                    <w:rPr>
                      <w:sz w:val="20"/>
                      <w:szCs w:val="20"/>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159,65</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175,62</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79 827,27</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87 810,00</w:t>
                  </w:r>
                </w:p>
              </w:tc>
            </w:tr>
            <w:tr w:rsidR="00B31586" w:rsidRPr="00992BAA" w:rsidTr="00B31586">
              <w:trPr>
                <w:trHeight w:val="838"/>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Pr>
                      <w:color w:val="000000"/>
                      <w:sz w:val="20"/>
                      <w:szCs w:val="20"/>
                    </w:rPr>
                    <w:t>Колбаса  «Одесская» или эквивалент</w:t>
                  </w:r>
                </w:p>
              </w:tc>
              <w:tc>
                <w:tcPr>
                  <w:tcW w:w="1821" w:type="pct"/>
                  <w:tcBorders>
                    <w:top w:val="single" w:sz="4" w:space="0" w:color="auto"/>
                    <w:left w:val="single" w:sz="4" w:space="0" w:color="auto"/>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AA29F6">
                    <w:rPr>
                      <w:rFonts w:eastAsia="Calibri"/>
                      <w:sz w:val="20"/>
                      <w:szCs w:val="20"/>
                      <w:lang w:eastAsia="en-US"/>
                    </w:rPr>
                    <w:t>Колбаса полукопчёная охлажденная. Мясной продукт категории А. Высший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467,09</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513,80</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233 545,45</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256 900,00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Pr>
                      <w:color w:val="000000"/>
                      <w:sz w:val="20"/>
                      <w:szCs w:val="20"/>
                    </w:rPr>
                    <w:t>Колбаса  «Краковская Элирон» или эквивалент</w:t>
                  </w:r>
                </w:p>
              </w:tc>
              <w:tc>
                <w:tcPr>
                  <w:tcW w:w="1821" w:type="pct"/>
                  <w:tcBorders>
                    <w:top w:val="single" w:sz="4" w:space="0" w:color="auto"/>
                    <w:left w:val="single" w:sz="4" w:space="0" w:color="auto"/>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AA29F6">
                    <w:rPr>
                      <w:rFonts w:eastAsia="Calibri"/>
                      <w:sz w:val="20"/>
                      <w:szCs w:val="20"/>
                      <w:lang w:eastAsia="en-US"/>
                    </w:rPr>
                    <w:t>Колбаса полукопчёная охлажденная. Мясной продукт категории А. Высший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520,55</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572,60</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260 272,73</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286 300,00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 xml:space="preserve">Колбаса </w:t>
                  </w:r>
                  <w:r>
                    <w:rPr>
                      <w:color w:val="000000"/>
                      <w:sz w:val="20"/>
                      <w:szCs w:val="20"/>
                    </w:rPr>
                    <w:t>«</w:t>
                  </w:r>
                  <w:r w:rsidRPr="00BF4166">
                    <w:rPr>
                      <w:color w:val="000000"/>
                      <w:sz w:val="20"/>
                      <w:szCs w:val="20"/>
                    </w:rPr>
                    <w:t>Отдельная и/о Элирон</w:t>
                  </w:r>
                  <w:r>
                    <w:rPr>
                      <w:color w:val="000000"/>
                      <w:sz w:val="20"/>
                      <w:szCs w:val="20"/>
                    </w:rPr>
                    <w:t>» или эквивалент</w:t>
                  </w:r>
                </w:p>
              </w:tc>
              <w:tc>
                <w:tcPr>
                  <w:tcW w:w="1821" w:type="pct"/>
                  <w:tcBorders>
                    <w:top w:val="single" w:sz="4" w:space="0" w:color="auto"/>
                    <w:left w:val="nil"/>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2C3240">
                    <w:rPr>
                      <w:rFonts w:eastAsia="Calibri"/>
                      <w:sz w:val="20"/>
                      <w:szCs w:val="20"/>
                      <w:lang w:eastAsia="en-US"/>
                    </w:rPr>
                    <w:t>Колбаса вареная охлажденная.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336,00</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369,60</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33 600,00</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36 960,00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 xml:space="preserve">Колбаса </w:t>
                  </w:r>
                  <w:r>
                    <w:rPr>
                      <w:color w:val="000000"/>
                      <w:sz w:val="20"/>
                      <w:szCs w:val="20"/>
                    </w:rPr>
                    <w:t>«</w:t>
                  </w:r>
                  <w:r w:rsidRPr="00BF4166">
                    <w:rPr>
                      <w:color w:val="000000"/>
                      <w:sz w:val="20"/>
                      <w:szCs w:val="20"/>
                    </w:rPr>
                    <w:t xml:space="preserve">Чайная </w:t>
                  </w:r>
                  <w:r w:rsidRPr="00BF4166">
                    <w:rPr>
                      <w:color w:val="000000"/>
                      <w:sz w:val="20"/>
                      <w:szCs w:val="20"/>
                    </w:rPr>
                    <w:lastRenderedPageBreak/>
                    <w:t>Элирон</w:t>
                  </w:r>
                  <w:r>
                    <w:rPr>
                      <w:color w:val="000000"/>
                      <w:sz w:val="20"/>
                      <w:szCs w:val="20"/>
                    </w:rPr>
                    <w:t>» или эквивалент</w:t>
                  </w:r>
                </w:p>
              </w:tc>
              <w:tc>
                <w:tcPr>
                  <w:tcW w:w="1821" w:type="pct"/>
                  <w:tcBorders>
                    <w:top w:val="single" w:sz="4" w:space="0" w:color="auto"/>
                    <w:left w:val="nil"/>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2C3240">
                    <w:rPr>
                      <w:rFonts w:eastAsia="Calibri"/>
                      <w:sz w:val="20"/>
                      <w:szCs w:val="20"/>
                      <w:lang w:eastAsia="en-US"/>
                    </w:rPr>
                    <w:lastRenderedPageBreak/>
                    <w:t xml:space="preserve">Колбаса вареная охлажденная. Первый сорт. Упаковано в </w:t>
                  </w:r>
                  <w:r w:rsidRPr="002C3240">
                    <w:rPr>
                      <w:rFonts w:eastAsia="Calibri"/>
                      <w:sz w:val="20"/>
                      <w:szCs w:val="20"/>
                      <w:lang w:eastAsia="en-US"/>
                    </w:rPr>
                    <w:lastRenderedPageBreak/>
                    <w:t>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lastRenderedPageBreak/>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310,55</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341,60</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31 054,55</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34 160,00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Pr>
                      <w:color w:val="000000"/>
                      <w:sz w:val="20"/>
                      <w:szCs w:val="20"/>
                    </w:rPr>
                    <w:lastRenderedPageBreak/>
                    <w:t>Колбаса «Молочная Элирон» или эквивалент</w:t>
                  </w:r>
                </w:p>
              </w:tc>
              <w:tc>
                <w:tcPr>
                  <w:tcW w:w="1821" w:type="pct"/>
                  <w:tcBorders>
                    <w:top w:val="single" w:sz="4" w:space="0" w:color="auto"/>
                    <w:left w:val="nil"/>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2C3240">
                    <w:rPr>
                      <w:rFonts w:eastAsia="Calibri"/>
                      <w:sz w:val="20"/>
                      <w:szCs w:val="20"/>
                      <w:lang w:eastAsia="en-US"/>
                    </w:rPr>
                    <w:t>Колбаса вареная охлажденная.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336,00</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369,60</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33 600,00</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36 960,00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sidRPr="00BF4166">
                    <w:rPr>
                      <w:color w:val="000000"/>
                      <w:sz w:val="20"/>
                      <w:szCs w:val="20"/>
                    </w:rPr>
                    <w:t xml:space="preserve">Колбаса </w:t>
                  </w:r>
                  <w:r>
                    <w:rPr>
                      <w:color w:val="000000"/>
                      <w:sz w:val="20"/>
                      <w:szCs w:val="20"/>
                    </w:rPr>
                    <w:t>«</w:t>
                  </w:r>
                  <w:r w:rsidRPr="00BF4166">
                    <w:rPr>
                      <w:color w:val="000000"/>
                      <w:sz w:val="20"/>
                      <w:szCs w:val="20"/>
                    </w:rPr>
                    <w:t>Русская Элирон</w:t>
                  </w:r>
                  <w:r>
                    <w:rPr>
                      <w:color w:val="000000"/>
                      <w:sz w:val="20"/>
                      <w:szCs w:val="20"/>
                    </w:rPr>
                    <w:t>» или эквивалент</w:t>
                  </w:r>
                </w:p>
              </w:tc>
              <w:tc>
                <w:tcPr>
                  <w:tcW w:w="1821" w:type="pct"/>
                  <w:tcBorders>
                    <w:top w:val="single" w:sz="4" w:space="0" w:color="auto"/>
                    <w:left w:val="nil"/>
                    <w:bottom w:val="single" w:sz="4" w:space="0" w:color="auto"/>
                    <w:right w:val="single" w:sz="4" w:space="0" w:color="auto"/>
                  </w:tcBorders>
                  <w:shd w:val="clear" w:color="auto" w:fill="FFFFFF"/>
                  <w:vAlign w:val="center"/>
                </w:tcPr>
                <w:p w:rsidR="00B31586" w:rsidRPr="002C3240" w:rsidRDefault="00B31586" w:rsidP="00B31586">
                  <w:pPr>
                    <w:contextualSpacing/>
                    <w:rPr>
                      <w:rFonts w:eastAsia="Calibri"/>
                      <w:sz w:val="20"/>
                      <w:szCs w:val="20"/>
                      <w:lang w:eastAsia="en-US"/>
                    </w:rPr>
                  </w:pPr>
                  <w:r w:rsidRPr="002C3240">
                    <w:rPr>
                      <w:rFonts w:eastAsia="Calibri"/>
                      <w:sz w:val="20"/>
                      <w:szCs w:val="20"/>
                      <w:lang w:eastAsia="en-US"/>
                    </w:rPr>
                    <w:t>Колбаса вареная охлажденная.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352,55</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387,80</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35 254,55</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38 780,00</w:t>
                  </w:r>
                </w:p>
              </w:tc>
            </w:tr>
            <w:tr w:rsidR="00B31586" w:rsidRPr="00992BAA" w:rsidTr="00B31586">
              <w:trPr>
                <w:jc w:val="center"/>
              </w:trPr>
              <w:tc>
                <w:tcPr>
                  <w:tcW w:w="604" w:type="pct"/>
                  <w:tcBorders>
                    <w:top w:val="nil"/>
                    <w:left w:val="single" w:sz="4" w:space="0" w:color="auto"/>
                    <w:bottom w:val="single" w:sz="4" w:space="0" w:color="auto"/>
                    <w:right w:val="single" w:sz="4" w:space="0" w:color="auto"/>
                  </w:tcBorders>
                  <w:shd w:val="clear" w:color="auto" w:fill="auto"/>
                </w:tcPr>
                <w:p w:rsidR="00B31586" w:rsidRPr="00BF4166" w:rsidRDefault="00B31586" w:rsidP="00B31586">
                  <w:pPr>
                    <w:rPr>
                      <w:color w:val="000000"/>
                      <w:sz w:val="20"/>
                      <w:szCs w:val="20"/>
                    </w:rPr>
                  </w:pPr>
                  <w:r>
                    <w:rPr>
                      <w:color w:val="000000"/>
                      <w:sz w:val="20"/>
                      <w:szCs w:val="20"/>
                    </w:rPr>
                    <w:t>Шпикачки «</w:t>
                  </w:r>
                  <w:r w:rsidRPr="00BF4166">
                    <w:rPr>
                      <w:color w:val="000000"/>
                      <w:sz w:val="20"/>
                      <w:szCs w:val="20"/>
                    </w:rPr>
                    <w:t>Элирон</w:t>
                  </w:r>
                  <w:r>
                    <w:rPr>
                      <w:color w:val="000000"/>
                      <w:sz w:val="20"/>
                      <w:szCs w:val="20"/>
                    </w:rPr>
                    <w:t>»  или эквивалент</w:t>
                  </w:r>
                </w:p>
              </w:tc>
              <w:tc>
                <w:tcPr>
                  <w:tcW w:w="1821" w:type="pct"/>
                </w:tcPr>
                <w:p w:rsidR="00B31586" w:rsidRPr="00B10B26" w:rsidRDefault="00B31586" w:rsidP="00B31586">
                  <w:pPr>
                    <w:contextualSpacing/>
                    <w:rPr>
                      <w:sz w:val="20"/>
                      <w:szCs w:val="20"/>
                    </w:rPr>
                  </w:pPr>
                  <w:r w:rsidRPr="00B10B26">
                    <w:rPr>
                      <w:sz w:val="20"/>
                      <w:szCs w:val="20"/>
                    </w:rPr>
                    <w:t>Шпикачки натуральная оболочка, вареные охлажденные. Первый сорт. Упаковано в натуральную оболочку. Соответствие ТУ производителя. Упаковка в пластиковый ящик для транспортировки.</w:t>
                  </w:r>
                </w:p>
              </w:tc>
              <w:tc>
                <w:tcPr>
                  <w:tcW w:w="266" w:type="pct"/>
                  <w:tcBorders>
                    <w:top w:val="nil"/>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кг</w:t>
                  </w:r>
                </w:p>
              </w:tc>
              <w:tc>
                <w:tcPr>
                  <w:tcW w:w="337"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300</w:t>
                  </w:r>
                </w:p>
              </w:tc>
              <w:tc>
                <w:tcPr>
                  <w:tcW w:w="288" w:type="pct"/>
                  <w:tcBorders>
                    <w:left w:val="nil"/>
                  </w:tcBorders>
                  <w:vAlign w:val="center"/>
                </w:tcPr>
                <w:p w:rsidR="00B31586" w:rsidRPr="00B31586" w:rsidRDefault="00B31586" w:rsidP="00B31586">
                  <w:pPr>
                    <w:jc w:val="center"/>
                    <w:rPr>
                      <w:sz w:val="20"/>
                      <w:szCs w:val="20"/>
                    </w:rPr>
                  </w:pPr>
                  <w:r w:rsidRPr="00B31586">
                    <w:rPr>
                      <w:sz w:val="20"/>
                      <w:szCs w:val="20"/>
                    </w:rPr>
                    <w:t>10</w:t>
                  </w:r>
                </w:p>
              </w:tc>
              <w:tc>
                <w:tcPr>
                  <w:tcW w:w="331" w:type="pct"/>
                  <w:tcBorders>
                    <w:top w:val="nil"/>
                    <w:left w:val="single" w:sz="4" w:space="0" w:color="auto"/>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383,09</w:t>
                  </w:r>
                </w:p>
              </w:tc>
              <w:tc>
                <w:tcPr>
                  <w:tcW w:w="337"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421,40</w:t>
                  </w:r>
                </w:p>
              </w:tc>
              <w:tc>
                <w:tcPr>
                  <w:tcW w:w="509" w:type="pct"/>
                  <w:tcBorders>
                    <w:top w:val="nil"/>
                    <w:left w:val="nil"/>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r w:rsidRPr="00B31586">
                    <w:rPr>
                      <w:color w:val="000000"/>
                      <w:sz w:val="20"/>
                      <w:szCs w:val="20"/>
                    </w:rPr>
                    <w:t>114 927,27</w:t>
                  </w:r>
                </w:p>
              </w:tc>
              <w:tc>
                <w:tcPr>
                  <w:tcW w:w="509" w:type="pct"/>
                  <w:tcBorders>
                    <w:top w:val="nil"/>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r w:rsidRPr="00B31586">
                    <w:rPr>
                      <w:color w:val="000000"/>
                      <w:sz w:val="20"/>
                      <w:szCs w:val="20"/>
                    </w:rPr>
                    <w:t>126 420,00</w:t>
                  </w:r>
                </w:p>
              </w:tc>
            </w:tr>
            <w:tr w:rsidR="00B31586" w:rsidTr="00B31586">
              <w:trPr>
                <w:trHeight w:val="108"/>
                <w:jc w:val="center"/>
              </w:trPr>
              <w:tc>
                <w:tcPr>
                  <w:tcW w:w="604" w:type="pct"/>
                  <w:vMerge w:val="restart"/>
                  <w:tcBorders>
                    <w:right w:val="nil"/>
                  </w:tcBorders>
                </w:tcPr>
                <w:p w:rsidR="00B31586" w:rsidRPr="00B10B26" w:rsidRDefault="00B31586" w:rsidP="00B31586">
                  <w:pPr>
                    <w:jc w:val="center"/>
                    <w:rPr>
                      <w:rFonts w:ascii="Calibri" w:hAnsi="Calibri"/>
                      <w:color w:val="000000"/>
                      <w:sz w:val="20"/>
                      <w:szCs w:val="20"/>
                    </w:rPr>
                  </w:pPr>
                  <w:r w:rsidRPr="00B10B26">
                    <w:rPr>
                      <w:b/>
                      <w:sz w:val="20"/>
                      <w:szCs w:val="20"/>
                    </w:rPr>
                    <w:t>ИТОГО начальная (максимальная) цена</w:t>
                  </w:r>
                </w:p>
              </w:tc>
              <w:tc>
                <w:tcPr>
                  <w:tcW w:w="1821" w:type="pct"/>
                </w:tcPr>
                <w:p w:rsidR="00B31586" w:rsidRPr="00B31586" w:rsidRDefault="00B31586" w:rsidP="00B31586">
                  <w:pPr>
                    <w:jc w:val="center"/>
                    <w:rPr>
                      <w:b/>
                      <w:color w:val="000000"/>
                      <w:sz w:val="20"/>
                      <w:szCs w:val="20"/>
                    </w:rPr>
                  </w:pPr>
                </w:p>
              </w:tc>
              <w:tc>
                <w:tcPr>
                  <w:tcW w:w="266" w:type="pct"/>
                  <w:vAlign w:val="center"/>
                </w:tcPr>
                <w:p w:rsidR="00B31586" w:rsidRPr="00B31586" w:rsidRDefault="00B31586" w:rsidP="00B31586">
                  <w:pPr>
                    <w:jc w:val="center"/>
                    <w:rPr>
                      <w:b/>
                      <w:color w:val="000000"/>
                      <w:sz w:val="20"/>
                      <w:szCs w:val="20"/>
                    </w:rPr>
                  </w:pPr>
                  <w:r w:rsidRPr="00B31586">
                    <w:rPr>
                      <w:b/>
                      <w:color w:val="000000"/>
                      <w:sz w:val="20"/>
                      <w:szCs w:val="20"/>
                    </w:rPr>
                    <w:t>кг</w:t>
                  </w:r>
                </w:p>
              </w:tc>
              <w:tc>
                <w:tcPr>
                  <w:tcW w:w="337" w:type="pct"/>
                  <w:tcBorders>
                    <w:top w:val="nil"/>
                    <w:left w:val="nil"/>
                  </w:tcBorders>
                  <w:vAlign w:val="center"/>
                </w:tcPr>
                <w:p w:rsidR="00B31586" w:rsidRPr="00B31586" w:rsidRDefault="00B31586" w:rsidP="00B31586">
                  <w:pPr>
                    <w:jc w:val="center"/>
                    <w:rPr>
                      <w:b/>
                      <w:color w:val="000000"/>
                      <w:sz w:val="20"/>
                      <w:szCs w:val="20"/>
                    </w:rPr>
                  </w:pPr>
                  <w:r w:rsidRPr="00B31586">
                    <w:rPr>
                      <w:b/>
                      <w:color w:val="000000"/>
                      <w:sz w:val="20"/>
                      <w:szCs w:val="20"/>
                    </w:rPr>
                    <w:t>10200</w:t>
                  </w:r>
                </w:p>
              </w:tc>
              <w:tc>
                <w:tcPr>
                  <w:tcW w:w="288" w:type="pct"/>
                  <w:vMerge w:val="restart"/>
                  <w:tcBorders>
                    <w:left w:val="nil"/>
                  </w:tcBorders>
                  <w:vAlign w:val="center"/>
                </w:tcPr>
                <w:p w:rsidR="00B31586" w:rsidRPr="00B31586" w:rsidRDefault="00B31586" w:rsidP="00B31586">
                  <w:pPr>
                    <w:jc w:val="center"/>
                    <w:rPr>
                      <w:sz w:val="20"/>
                      <w:szCs w:val="20"/>
                    </w:rPr>
                  </w:pPr>
                </w:p>
              </w:tc>
              <w:tc>
                <w:tcPr>
                  <w:tcW w:w="331" w:type="pct"/>
                  <w:vAlign w:val="center"/>
                </w:tcPr>
                <w:p w:rsidR="00B31586" w:rsidRPr="00B31586" w:rsidRDefault="00B31586" w:rsidP="00B31586">
                  <w:pPr>
                    <w:jc w:val="center"/>
                    <w:rPr>
                      <w:sz w:val="20"/>
                      <w:szCs w:val="20"/>
                    </w:rPr>
                  </w:pPr>
                </w:p>
              </w:tc>
              <w:tc>
                <w:tcPr>
                  <w:tcW w:w="337" w:type="pct"/>
                </w:tcPr>
                <w:p w:rsidR="00B31586" w:rsidRPr="00B31586" w:rsidRDefault="00B31586" w:rsidP="00B31586">
                  <w:pPr>
                    <w:jc w:val="center"/>
                    <w:rPr>
                      <w:color w:val="000000"/>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B31586" w:rsidRPr="00B31586" w:rsidRDefault="00B31586" w:rsidP="00B31586">
                  <w:pPr>
                    <w:jc w:val="center"/>
                    <w:rPr>
                      <w:color w:val="000000"/>
                      <w:sz w:val="20"/>
                      <w:szCs w:val="20"/>
                    </w:rPr>
                  </w:pPr>
                </w:p>
              </w:tc>
              <w:tc>
                <w:tcPr>
                  <w:tcW w:w="509" w:type="pct"/>
                  <w:tcBorders>
                    <w:top w:val="single" w:sz="4" w:space="0" w:color="auto"/>
                    <w:left w:val="nil"/>
                    <w:bottom w:val="single" w:sz="4" w:space="0" w:color="auto"/>
                    <w:right w:val="single" w:sz="4" w:space="0" w:color="auto"/>
                  </w:tcBorders>
                  <w:shd w:val="clear" w:color="000000" w:fill="FFFFFF"/>
                  <w:vAlign w:val="center"/>
                </w:tcPr>
                <w:p w:rsidR="00B31586" w:rsidRPr="00B31586" w:rsidRDefault="00B31586" w:rsidP="00B31586">
                  <w:pPr>
                    <w:jc w:val="center"/>
                    <w:rPr>
                      <w:color w:val="000000"/>
                      <w:sz w:val="20"/>
                      <w:szCs w:val="20"/>
                    </w:rPr>
                  </w:pPr>
                </w:p>
              </w:tc>
            </w:tr>
            <w:tr w:rsidR="00B31586" w:rsidRPr="00B10B26" w:rsidTr="00B31586">
              <w:trPr>
                <w:jc w:val="center"/>
              </w:trPr>
              <w:tc>
                <w:tcPr>
                  <w:tcW w:w="604" w:type="pct"/>
                  <w:vMerge/>
                </w:tcPr>
                <w:p w:rsidR="00B31586" w:rsidRPr="00B10B26" w:rsidRDefault="00B31586" w:rsidP="00B31586">
                  <w:pPr>
                    <w:jc w:val="center"/>
                    <w:rPr>
                      <w:sz w:val="20"/>
                      <w:szCs w:val="20"/>
                    </w:rPr>
                  </w:pPr>
                </w:p>
              </w:tc>
              <w:tc>
                <w:tcPr>
                  <w:tcW w:w="1821" w:type="pct"/>
                </w:tcPr>
                <w:p w:rsidR="00B31586" w:rsidRPr="00B31586" w:rsidRDefault="00B31586" w:rsidP="00B31586">
                  <w:pPr>
                    <w:jc w:val="center"/>
                    <w:rPr>
                      <w:b/>
                      <w:sz w:val="20"/>
                      <w:szCs w:val="20"/>
                    </w:rPr>
                  </w:pPr>
                </w:p>
              </w:tc>
              <w:tc>
                <w:tcPr>
                  <w:tcW w:w="266" w:type="pct"/>
                  <w:vAlign w:val="center"/>
                </w:tcPr>
                <w:p w:rsidR="00B31586" w:rsidRPr="00B31586" w:rsidRDefault="00B31586" w:rsidP="00B31586">
                  <w:pPr>
                    <w:jc w:val="center"/>
                    <w:rPr>
                      <w:b/>
                      <w:sz w:val="20"/>
                      <w:szCs w:val="20"/>
                    </w:rPr>
                  </w:pPr>
                  <w:r w:rsidRPr="00B31586">
                    <w:rPr>
                      <w:b/>
                      <w:sz w:val="20"/>
                      <w:szCs w:val="20"/>
                    </w:rPr>
                    <w:t>шт</w:t>
                  </w:r>
                </w:p>
              </w:tc>
              <w:tc>
                <w:tcPr>
                  <w:tcW w:w="337" w:type="pct"/>
                  <w:tcBorders>
                    <w:top w:val="nil"/>
                    <w:left w:val="nil"/>
                  </w:tcBorders>
                  <w:vAlign w:val="center"/>
                </w:tcPr>
                <w:p w:rsidR="00B31586" w:rsidRPr="00B31586" w:rsidRDefault="00B31586" w:rsidP="00B31586">
                  <w:pPr>
                    <w:jc w:val="center"/>
                    <w:rPr>
                      <w:b/>
                      <w:bCs/>
                      <w:sz w:val="20"/>
                      <w:szCs w:val="20"/>
                    </w:rPr>
                  </w:pPr>
                  <w:r w:rsidRPr="00B31586">
                    <w:rPr>
                      <w:b/>
                      <w:bCs/>
                      <w:sz w:val="20"/>
                      <w:szCs w:val="20"/>
                    </w:rPr>
                    <w:t>1000</w:t>
                  </w:r>
                </w:p>
              </w:tc>
              <w:tc>
                <w:tcPr>
                  <w:tcW w:w="288" w:type="pct"/>
                  <w:vMerge/>
                  <w:tcBorders>
                    <w:left w:val="nil"/>
                  </w:tcBorders>
                  <w:vAlign w:val="center"/>
                </w:tcPr>
                <w:p w:rsidR="00B31586" w:rsidRPr="00B31586" w:rsidRDefault="00B31586" w:rsidP="00B31586">
                  <w:pPr>
                    <w:jc w:val="center"/>
                    <w:rPr>
                      <w:b/>
                      <w:bCs/>
                      <w:sz w:val="20"/>
                      <w:szCs w:val="20"/>
                    </w:rPr>
                  </w:pPr>
                </w:p>
              </w:tc>
              <w:tc>
                <w:tcPr>
                  <w:tcW w:w="331" w:type="pct"/>
                  <w:vAlign w:val="center"/>
                </w:tcPr>
                <w:p w:rsidR="00B31586" w:rsidRPr="00B31586" w:rsidRDefault="00B31586" w:rsidP="00B31586">
                  <w:pPr>
                    <w:jc w:val="center"/>
                    <w:rPr>
                      <w:b/>
                      <w:bCs/>
                      <w:sz w:val="20"/>
                      <w:szCs w:val="20"/>
                    </w:rPr>
                  </w:pPr>
                </w:p>
              </w:tc>
              <w:tc>
                <w:tcPr>
                  <w:tcW w:w="337" w:type="pct"/>
                  <w:tcBorders>
                    <w:right w:val="nil"/>
                  </w:tcBorders>
                </w:tcPr>
                <w:p w:rsidR="00B31586" w:rsidRPr="00B31586" w:rsidRDefault="00B31586" w:rsidP="00B31586">
                  <w:pPr>
                    <w:jc w:val="center"/>
                    <w:rPr>
                      <w:b/>
                      <w:bCs/>
                      <w:iCs/>
                      <w:color w:val="000000"/>
                      <w:sz w:val="20"/>
                      <w:szCs w:val="20"/>
                    </w:rPr>
                  </w:pPr>
                </w:p>
              </w:tc>
              <w:tc>
                <w:tcPr>
                  <w:tcW w:w="509" w:type="pct"/>
                  <w:tcBorders>
                    <w:left w:val="nil"/>
                  </w:tcBorders>
                  <w:vAlign w:val="center"/>
                </w:tcPr>
                <w:p w:rsidR="00B31586" w:rsidRPr="00B31586" w:rsidRDefault="00B31586" w:rsidP="00B31586">
                  <w:pPr>
                    <w:jc w:val="center"/>
                    <w:rPr>
                      <w:b/>
                      <w:bCs/>
                      <w:iCs/>
                      <w:color w:val="000000"/>
                      <w:sz w:val="20"/>
                      <w:szCs w:val="20"/>
                    </w:rPr>
                  </w:pPr>
                  <w:r w:rsidRPr="00B31586">
                    <w:rPr>
                      <w:b/>
                      <w:bCs/>
                      <w:iCs/>
                      <w:color w:val="000000"/>
                      <w:sz w:val="20"/>
                      <w:szCs w:val="20"/>
                    </w:rPr>
                    <w:t>2 903 962,73</w:t>
                  </w:r>
                </w:p>
              </w:tc>
              <w:tc>
                <w:tcPr>
                  <w:tcW w:w="509" w:type="pct"/>
                  <w:vAlign w:val="center"/>
                </w:tcPr>
                <w:p w:rsidR="00B31586" w:rsidRPr="00B31586" w:rsidRDefault="00B31586" w:rsidP="00B31586">
                  <w:pPr>
                    <w:jc w:val="center"/>
                    <w:rPr>
                      <w:b/>
                      <w:color w:val="000000"/>
                      <w:sz w:val="20"/>
                      <w:szCs w:val="20"/>
                    </w:rPr>
                  </w:pPr>
                  <w:r w:rsidRPr="00B31586">
                    <w:rPr>
                      <w:b/>
                      <w:color w:val="000000"/>
                      <w:sz w:val="20"/>
                      <w:szCs w:val="20"/>
                    </w:rPr>
                    <w:t>3 194 359,00</w:t>
                  </w:r>
                </w:p>
              </w:tc>
            </w:tr>
          </w:tbl>
          <w:p w:rsidR="00B31586" w:rsidRPr="008F0789" w:rsidRDefault="00B3158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B31586" w:rsidRPr="009E2990" w:rsidRDefault="00B31586" w:rsidP="00B31586">
            <w:pPr>
              <w:contextualSpacing/>
              <w:jc w:val="both"/>
            </w:pPr>
            <w:r w:rsidRPr="009E2990">
              <w:rPr>
                <w:b/>
              </w:rPr>
              <w:t>- 2</w:t>
            </w:r>
            <w:r>
              <w:rPr>
                <w:b/>
              </w:rPr>
              <w:t> </w:t>
            </w:r>
            <w:r w:rsidRPr="009E2990">
              <w:rPr>
                <w:b/>
              </w:rPr>
              <w:t>903</w:t>
            </w:r>
            <w:r>
              <w:rPr>
                <w:b/>
              </w:rPr>
              <w:t xml:space="preserve"> </w:t>
            </w:r>
            <w:r w:rsidRPr="009E2990">
              <w:rPr>
                <w:b/>
              </w:rPr>
              <w:t>962,73</w:t>
            </w:r>
            <w:r>
              <w:rPr>
                <w:b/>
              </w:rPr>
              <w:t xml:space="preserve"> </w:t>
            </w:r>
            <w:r w:rsidRPr="009E2990">
              <w:t>(два миллиона девятьсот три тысячи девятьсот шестьдесят два) рубля 73 копеек без учета НДС,</w:t>
            </w:r>
          </w:p>
          <w:p w:rsidR="00E227C3" w:rsidRPr="00215326" w:rsidRDefault="00B31586" w:rsidP="00B31586">
            <w:pPr>
              <w:contextualSpacing/>
            </w:pPr>
            <w:r w:rsidRPr="009E2990">
              <w:rPr>
                <w:b/>
              </w:rPr>
              <w:t xml:space="preserve">- 3 194 359,00 </w:t>
            </w:r>
            <w:r w:rsidRPr="009E2990">
              <w:t>(три миллиона сто девяносто четыре тысячи триста пятьдесят девять) рублей 00 копеек с 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215326">
            <w:pPr>
              <w:contextualSpacing/>
              <w:jc w:val="both"/>
              <w:rPr>
                <w:bCs/>
              </w:rPr>
            </w:pPr>
            <w:r>
              <w:rPr>
                <w:bCs/>
              </w:rPr>
              <w:t>1</w:t>
            </w:r>
            <w:r w:rsidR="009232BF">
              <w:rPr>
                <w:bCs/>
              </w:rPr>
              <w:t>0</w:t>
            </w:r>
            <w:r w:rsidR="00A01A54" w:rsidRPr="008F0789">
              <w:rPr>
                <w:bCs/>
              </w:rPr>
              <w:t xml:space="preserve"> (</w:t>
            </w:r>
            <w:r w:rsidR="009A6A44">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B31586" w:rsidP="00B31586">
            <w:pPr>
              <w:rPr>
                <w:b/>
                <w:i/>
              </w:rPr>
            </w:pPr>
            <w:r>
              <w:rPr>
                <w:b/>
                <w:bCs/>
              </w:rPr>
              <w:t>К</w:t>
            </w:r>
            <w:r w:rsidRPr="009E2990">
              <w:rPr>
                <w:b/>
                <w:bCs/>
              </w:rPr>
              <w:t>олбасны</w:t>
            </w:r>
            <w:r>
              <w:rPr>
                <w:b/>
                <w:bCs/>
              </w:rPr>
              <w:t>е</w:t>
            </w:r>
            <w:r w:rsidRPr="009E2990">
              <w:rPr>
                <w:b/>
                <w:bCs/>
              </w:rPr>
              <w:t xml:space="preserve"> издели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lastRenderedPageBreak/>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lastRenderedPageBreak/>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AC2527" w:rsidRDefault="00AC2527" w:rsidP="00AC2527">
            <w:r>
              <w:t>1. Производственно - складская база Шилкинского ТПО Читинского филиала АО «ЖТК» 673370 г. Шилка, ул. Котовского, 9.</w:t>
            </w:r>
          </w:p>
          <w:p w:rsidR="00AC2527" w:rsidRDefault="00AC2527" w:rsidP="00AC2527">
            <w:r>
              <w:t>2. Столовая ДОЛБ ст. Чернышевск Промышленный тупик 3</w:t>
            </w:r>
          </w:p>
          <w:p w:rsidR="00AC2527" w:rsidRDefault="00AC2527" w:rsidP="00AC2527">
            <w:r>
              <w:t>3. Столовая ДОЛБ ст. Могоча ул. Шулешко 2</w:t>
            </w:r>
          </w:p>
          <w:p w:rsidR="00DE1165" w:rsidRPr="00A23631" w:rsidRDefault="00AC2527" w:rsidP="00AC2527">
            <w:r>
              <w:t>4. Столовая ДОЛБ ст. Ерофей-Павлович ул. Октябрьская 26</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lastRenderedPageBreak/>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F73ED9" w:rsidRDefault="00F73ED9" w:rsidP="00DE1165">
            <w:pPr>
              <w:contextualSpacing/>
              <w:jc w:val="both"/>
            </w:pPr>
          </w:p>
          <w:p w:rsidR="00F73ED9" w:rsidRDefault="00F73ED9" w:rsidP="00DE1165">
            <w:pPr>
              <w:contextualSpacing/>
              <w:jc w:val="both"/>
            </w:pP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lastRenderedPageBreak/>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lastRenderedPageBreak/>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B31586" w:rsidRPr="009E2990">
        <w:rPr>
          <w:b/>
          <w:bCs/>
        </w:rPr>
        <w:t>колбасны</w:t>
      </w:r>
      <w:r w:rsidR="00B31586">
        <w:rPr>
          <w:b/>
          <w:bCs/>
        </w:rPr>
        <w:t>е</w:t>
      </w:r>
      <w:r w:rsidR="00B31586" w:rsidRPr="009E2990">
        <w:rPr>
          <w:b/>
          <w:bCs/>
        </w:rPr>
        <w:t xml:space="preserve"> издели</w:t>
      </w:r>
      <w:r w:rsidR="00B31586">
        <w:rPr>
          <w:b/>
          <w:bCs/>
        </w:rPr>
        <w:t>я</w:t>
      </w:r>
      <w:r w:rsidR="00B31586" w:rsidRPr="009E2990">
        <w:rPr>
          <w:b/>
          <w:bCs/>
        </w:rPr>
        <w:t xml:space="preserve"> для предприятий общественного питания Шилкинского ТПО, оказывающих услуги питания работникам ОАО "РЖД"</w:t>
      </w:r>
      <w:r w:rsidR="00B31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C2527" w:rsidRDefault="00AC2527" w:rsidP="00AC2527">
      <w:r>
        <w:t>- Производственно - складская база Шилкинского ТПО Читинского филиала АО «ЖТК» 673370 г. Шилка, ул. Котовского, 9.</w:t>
      </w:r>
    </w:p>
    <w:p w:rsidR="00AC2527" w:rsidRDefault="00AC2527" w:rsidP="00AC2527">
      <w:r>
        <w:t>- Столовая ДОЛБ ст. Чернышевск Промышленный тупик 3</w:t>
      </w:r>
    </w:p>
    <w:p w:rsidR="00AC2527" w:rsidRDefault="00AC2527" w:rsidP="00AC2527">
      <w:r>
        <w:t>- Столовая ДОЛБ ст. Могоча ул. Шулешко 2</w:t>
      </w:r>
    </w:p>
    <w:p w:rsidR="00215326" w:rsidRDefault="00AC2527" w:rsidP="00AC2527">
      <w:pPr>
        <w:jc w:val="both"/>
      </w:pPr>
      <w:r>
        <w:t>- Столовая ДОЛБ ст. Ерофей-Павлович ул. Октябрьская 26</w:t>
      </w:r>
      <w:r w:rsidR="00A23631">
        <w:t xml:space="preserve"> </w:t>
      </w:r>
    </w:p>
    <w:p w:rsidR="003C7F2F" w:rsidRDefault="00A23631" w:rsidP="00AC2527">
      <w:pPr>
        <w:jc w:val="both"/>
        <w:rPr>
          <w:rFonts w:eastAsia="Arial Unicode MS"/>
        </w:rPr>
      </w:pPr>
      <w:r>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rsidR="00215326">
        <w:t>2</w:t>
      </w:r>
      <w:r w:rsidR="00B31586">
        <w:t>1</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rsidR="00B31586">
        <w:t>1</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lastRenderedPageBreak/>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lastRenderedPageBreak/>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8F0789">
        <w:lastRenderedPageBreak/>
        <w:t>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A23631" w:rsidRDefault="00A23631"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w:t>
      </w:r>
      <w:r w:rsidR="00215326">
        <w:rPr>
          <w:rFonts w:ascii="Times New Roman" w:hAnsi="Times New Roman" w:cs="Times New Roman"/>
          <w:i w:val="0"/>
          <w:sz w:val="24"/>
          <w:szCs w:val="24"/>
        </w:rPr>
        <w:t>2</w:t>
      </w:r>
      <w:r w:rsidR="00B31586">
        <w:rPr>
          <w:rFonts w:ascii="Times New Roman" w:hAnsi="Times New Roman" w:cs="Times New Roman"/>
          <w:i w:val="0"/>
          <w:sz w:val="24"/>
          <w:szCs w:val="24"/>
        </w:rPr>
        <w:t>1</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B31586" w:rsidRPr="00416475">
        <w:rPr>
          <w:b/>
          <w:bCs/>
          <w:sz w:val="24"/>
          <w:szCs w:val="24"/>
        </w:rPr>
        <w:t>ЗКТ-</w:t>
      </w:r>
      <w:r w:rsidR="00B31586">
        <w:rPr>
          <w:b/>
          <w:bCs/>
          <w:sz w:val="24"/>
          <w:szCs w:val="24"/>
        </w:rPr>
        <w:t>21</w:t>
      </w:r>
      <w:r w:rsidR="00B31586" w:rsidRPr="00416475">
        <w:rPr>
          <w:b/>
          <w:bCs/>
          <w:sz w:val="24"/>
          <w:szCs w:val="24"/>
        </w:rPr>
        <w:t>/</w:t>
      </w:r>
      <w:r w:rsidR="00B31586">
        <w:rPr>
          <w:b/>
          <w:bCs/>
          <w:sz w:val="24"/>
          <w:szCs w:val="24"/>
        </w:rPr>
        <w:t>20</w:t>
      </w:r>
      <w:r w:rsidR="00B31586" w:rsidRPr="00416475">
        <w:rPr>
          <w:b/>
          <w:bCs/>
          <w:sz w:val="24"/>
          <w:szCs w:val="24"/>
        </w:rPr>
        <w:t xml:space="preserve"> на право заключения договора поставки </w:t>
      </w:r>
      <w:r w:rsidR="00B31586" w:rsidRPr="009E2990">
        <w:rPr>
          <w:b/>
          <w:bCs/>
          <w:sz w:val="24"/>
          <w:szCs w:val="24"/>
        </w:rPr>
        <w:t>колбасных изделий для предприятий общественного питания Шилкинского ТПО, оказывающих услуги питания работникам ОАО "РЖД"</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9802A1">
              <w:rPr>
                <w:sz w:val="24"/>
              </w:rPr>
            </w:r>
            <w:r w:rsidR="009802A1">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9802A1">
              <w:rPr>
                <w:sz w:val="24"/>
              </w:rPr>
            </w:r>
            <w:r w:rsidR="009802A1">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9802A1">
              <w:rPr>
                <w:sz w:val="24"/>
              </w:rPr>
            </w:r>
            <w:r w:rsidR="009802A1">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9802A1">
              <w:rPr>
                <w:sz w:val="24"/>
              </w:rPr>
            </w:r>
            <w:r w:rsidR="009802A1">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9802A1">
              <w:rPr>
                <w:sz w:val="24"/>
              </w:rPr>
            </w:r>
            <w:r w:rsidR="009802A1">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9802A1">
              <w:rPr>
                <w:sz w:val="24"/>
              </w:rPr>
            </w:r>
            <w:r w:rsidR="009802A1">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B31586" w:rsidRPr="00416475">
        <w:rPr>
          <w:b/>
          <w:bCs/>
          <w:sz w:val="24"/>
          <w:szCs w:val="24"/>
        </w:rPr>
        <w:t>ЗКТ-</w:t>
      </w:r>
      <w:r w:rsidR="00B31586">
        <w:rPr>
          <w:b/>
          <w:bCs/>
          <w:sz w:val="24"/>
          <w:szCs w:val="24"/>
        </w:rPr>
        <w:t>21</w:t>
      </w:r>
      <w:r w:rsidR="00B31586" w:rsidRPr="00416475">
        <w:rPr>
          <w:b/>
          <w:bCs/>
          <w:sz w:val="24"/>
          <w:szCs w:val="24"/>
        </w:rPr>
        <w:t>/</w:t>
      </w:r>
      <w:r w:rsidR="00B31586">
        <w:rPr>
          <w:b/>
          <w:bCs/>
          <w:sz w:val="24"/>
          <w:szCs w:val="24"/>
        </w:rPr>
        <w:t>20</w:t>
      </w:r>
      <w:r w:rsidR="00B31586" w:rsidRPr="00416475">
        <w:rPr>
          <w:b/>
          <w:bCs/>
          <w:sz w:val="24"/>
          <w:szCs w:val="24"/>
        </w:rPr>
        <w:t xml:space="preserve"> на право заключения договора поставки </w:t>
      </w:r>
      <w:r w:rsidR="00B31586" w:rsidRPr="009E2990">
        <w:rPr>
          <w:b/>
          <w:bCs/>
          <w:sz w:val="24"/>
          <w:szCs w:val="24"/>
        </w:rPr>
        <w:t>колбасных изделий для предприятий общественного питания Шилкинского ТПО, оказывающих услуги питания работникам ОАО "РЖД"</w:t>
      </w:r>
      <w:bookmarkStart w:id="9" w:name="_GoBack"/>
      <w:bookmarkEnd w:id="9"/>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AC2527" w:rsidRDefault="00DE1165" w:rsidP="00DE1165">
            <w:pPr>
              <w:ind w:firstLine="567"/>
              <w:jc w:val="both"/>
              <w:rPr>
                <w:b/>
                <w:bCs/>
                <w:i/>
                <w:color w:val="FF0000"/>
                <w:sz w:val="28"/>
                <w:szCs w:val="28"/>
              </w:rPr>
            </w:pPr>
            <w:r w:rsidRPr="00AC2527">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AC2527">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7</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7</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8</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w:t>
            </w:r>
            <w:r w:rsidR="00AC2527">
              <w:rPr>
                <w:b/>
              </w:rPr>
              <w:t>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4"/>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4"/>
        </w:rPr>
        <w:t xml:space="preserve"> </w:t>
      </w:r>
    </w:p>
    <w:p w:rsidR="00F73ED9" w:rsidRPr="00D06342" w:rsidRDefault="00F73ED9" w:rsidP="00F73ED9">
      <w:pPr>
        <w:widowControl w:val="0"/>
        <w:shd w:val="clear" w:color="auto" w:fill="FFFFFF"/>
        <w:tabs>
          <w:tab w:val="decimal" w:pos="9180"/>
        </w:tabs>
        <w:ind w:firstLine="851"/>
        <w:jc w:val="both"/>
        <w:rPr>
          <w:rStyle w:val="aff4"/>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A1" w:rsidRDefault="009802A1" w:rsidP="00D63907">
      <w:r>
        <w:separator/>
      </w:r>
    </w:p>
  </w:endnote>
  <w:endnote w:type="continuationSeparator" w:id="0">
    <w:p w:rsidR="009802A1" w:rsidRDefault="009802A1"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31586">
      <w:rPr>
        <w:noProof/>
        <w:sz w:val="18"/>
        <w:szCs w:val="18"/>
      </w:rPr>
      <w:t>33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31586">
      <w:rPr>
        <w:noProof/>
        <w:sz w:val="18"/>
        <w:szCs w:val="18"/>
      </w:rPr>
      <w:t>26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A1" w:rsidRDefault="009802A1" w:rsidP="00D63907">
      <w:r>
        <w:separator/>
      </w:r>
    </w:p>
  </w:footnote>
  <w:footnote w:type="continuationSeparator" w:id="0">
    <w:p w:rsidR="009802A1" w:rsidRDefault="009802A1" w:rsidP="00D63907">
      <w:r>
        <w:continuationSeparator/>
      </w:r>
    </w:p>
  </w:footnote>
  <w:footnote w:id="1">
    <w:p w:rsidR="009232BF" w:rsidRDefault="009232BF"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9232BF" w:rsidRDefault="009232BF"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32BF" w:rsidRDefault="009232BF"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9232BF" w:rsidRDefault="009232BF"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232BF" w:rsidRDefault="009232BF"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9232BF" w:rsidRPr="004320AB" w:rsidRDefault="009232BF"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32BF" w:rsidRDefault="009232BF" w:rsidP="005D3D30">
      <w:pPr>
        <w:pStyle w:val="a9"/>
      </w:pPr>
    </w:p>
  </w:footnote>
  <w:footnote w:id="6">
    <w:p w:rsidR="009232BF" w:rsidRPr="002001EA" w:rsidRDefault="009232BF"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32BF" w:rsidRDefault="009232B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EF5C71" w:rsidRDefault="009232BF">
    <w:pPr>
      <w:pStyle w:val="ab"/>
      <w:jc w:val="center"/>
    </w:pPr>
  </w:p>
  <w:p w:rsidR="009232BF" w:rsidRDefault="009232B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F202BA1"/>
    <w:multiLevelType w:val="hybridMultilevel"/>
    <w:tmpl w:val="76C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0"/>
  </w:num>
  <w:num w:numId="2">
    <w:abstractNumId w:val="14"/>
  </w:num>
  <w:num w:numId="3">
    <w:abstractNumId w:val="10"/>
  </w:num>
  <w:num w:numId="4">
    <w:abstractNumId w:val="15"/>
  </w:num>
  <w:num w:numId="5">
    <w:abstractNumId w:val="5"/>
  </w:num>
  <w:num w:numId="6">
    <w:abstractNumId w:val="6"/>
  </w:num>
  <w:num w:numId="7">
    <w:abstractNumId w:val="3"/>
  </w:num>
  <w:num w:numId="8">
    <w:abstractNumId w:val="9"/>
  </w:num>
  <w:num w:numId="9">
    <w:abstractNumId w:val="4"/>
  </w:num>
  <w:num w:numId="10">
    <w:abstractNumId w:val="18"/>
  </w:num>
  <w:num w:numId="11">
    <w:abstractNumId w:val="2"/>
  </w:num>
  <w:num w:numId="12">
    <w:abstractNumId w:val="17"/>
  </w:num>
  <w:num w:numId="13">
    <w:abstractNumId w:val="12"/>
  </w:num>
  <w:num w:numId="14">
    <w:abstractNumId w:val="1"/>
  </w:num>
  <w:num w:numId="15">
    <w:abstractNumId w:val="11"/>
  </w:num>
  <w:num w:numId="16">
    <w:abstractNumId w:val="7"/>
  </w:num>
  <w:num w:numId="17">
    <w:abstractNumId w:val="16"/>
  </w:num>
  <w:num w:numId="18">
    <w:abstractNumId w:val="13"/>
  </w:num>
  <w:num w:numId="19">
    <w:abstractNumId w:val="21"/>
  </w:num>
  <w:num w:numId="20">
    <w:abstractNumId w:val="0"/>
  </w:num>
  <w:num w:numId="21">
    <w:abstractNumId w:val="19"/>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15326"/>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32BF"/>
    <w:rsid w:val="00925CFA"/>
    <w:rsid w:val="00933EB2"/>
    <w:rsid w:val="009372AC"/>
    <w:rsid w:val="00943FCB"/>
    <w:rsid w:val="0094617A"/>
    <w:rsid w:val="00953892"/>
    <w:rsid w:val="0096448F"/>
    <w:rsid w:val="009802A1"/>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3631"/>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7A8"/>
    <w:rsid w:val="00AA12CA"/>
    <w:rsid w:val="00AA36C4"/>
    <w:rsid w:val="00AA44B7"/>
    <w:rsid w:val="00AA6B7D"/>
    <w:rsid w:val="00AA7E61"/>
    <w:rsid w:val="00AB3D75"/>
    <w:rsid w:val="00AB5910"/>
    <w:rsid w:val="00AB670B"/>
    <w:rsid w:val="00AB775D"/>
    <w:rsid w:val="00AC2527"/>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586"/>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0E4"/>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5000"/>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49DD"/>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Body Text Char20,Знак1 Cha6"/>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2AD7E60-E6CA-4495-915F-0A01F4FA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66</Pages>
  <Words>25982</Words>
  <Characters>148101</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112</cp:revision>
  <cp:lastPrinted>2019-11-06T09:14:00Z</cp:lastPrinted>
  <dcterms:created xsi:type="dcterms:W3CDTF">2019-09-26T05:55:00Z</dcterms:created>
  <dcterms:modified xsi:type="dcterms:W3CDTF">2021-02-27T03:19:00Z</dcterms:modified>
</cp:coreProperties>
</file>